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7FC" w:rsidRDefault="004D77FC" w:rsidP="004D77FC">
      <w:pPr>
        <w:tabs>
          <w:tab w:val="left" w:pos="142"/>
        </w:tabs>
        <w:spacing w:after="0" w:line="240" w:lineRule="auto"/>
        <w:ind w:left="5387"/>
        <w:jc w:val="both"/>
        <w:rPr>
          <w:rFonts w:ascii="Times New Roman" w:hAnsi="Times New Roman"/>
          <w:sz w:val="28"/>
          <w:szCs w:val="28"/>
          <w:lang w:val="uk-UA"/>
        </w:rPr>
      </w:pPr>
      <w:r>
        <w:rPr>
          <w:rFonts w:ascii="Times New Roman" w:hAnsi="Times New Roman"/>
          <w:sz w:val="28"/>
          <w:szCs w:val="28"/>
          <w:lang w:val="uk-UA"/>
        </w:rPr>
        <w:t>Додаток</w:t>
      </w:r>
    </w:p>
    <w:p w:rsidR="004D77FC" w:rsidRDefault="004D77FC" w:rsidP="004D77FC">
      <w:pPr>
        <w:tabs>
          <w:tab w:val="left" w:pos="142"/>
        </w:tabs>
        <w:spacing w:after="0" w:line="240" w:lineRule="auto"/>
        <w:ind w:left="5387"/>
        <w:jc w:val="both"/>
        <w:rPr>
          <w:rFonts w:ascii="Times New Roman" w:hAnsi="Times New Roman"/>
          <w:sz w:val="28"/>
          <w:szCs w:val="28"/>
          <w:lang w:val="uk-UA"/>
        </w:rPr>
      </w:pPr>
      <w:r>
        <w:rPr>
          <w:rFonts w:ascii="Times New Roman" w:hAnsi="Times New Roman"/>
          <w:sz w:val="28"/>
          <w:szCs w:val="28"/>
          <w:lang w:val="uk-UA"/>
        </w:rPr>
        <w:t>до рішення виконавчого комітету 06.06.2019 №70</w:t>
      </w:r>
    </w:p>
    <w:p w:rsidR="004D77FC" w:rsidRDefault="004D77FC" w:rsidP="004D77FC">
      <w:pPr>
        <w:tabs>
          <w:tab w:val="left" w:pos="142"/>
        </w:tabs>
        <w:spacing w:after="0" w:line="240" w:lineRule="auto"/>
        <w:ind w:left="5387"/>
        <w:jc w:val="both"/>
        <w:rPr>
          <w:rFonts w:ascii="Times New Roman" w:hAnsi="Times New Roman"/>
          <w:sz w:val="28"/>
          <w:szCs w:val="28"/>
          <w:lang w:val="uk-UA"/>
        </w:rPr>
      </w:pPr>
    </w:p>
    <w:p w:rsidR="004D77FC" w:rsidRDefault="004D77FC" w:rsidP="004D77FC">
      <w:pPr>
        <w:tabs>
          <w:tab w:val="left" w:pos="142"/>
        </w:tabs>
        <w:spacing w:after="0" w:line="240" w:lineRule="auto"/>
        <w:jc w:val="center"/>
        <w:rPr>
          <w:rFonts w:ascii="Times New Roman" w:hAnsi="Times New Roman"/>
          <w:sz w:val="28"/>
          <w:szCs w:val="28"/>
          <w:lang w:val="uk-UA"/>
        </w:rPr>
      </w:pPr>
      <w:r>
        <w:rPr>
          <w:rFonts w:ascii="Times New Roman" w:hAnsi="Times New Roman"/>
          <w:sz w:val="28"/>
          <w:szCs w:val="28"/>
          <w:lang w:val="uk-UA"/>
        </w:rPr>
        <w:t>ПЛАН ЗАХОДІВ</w:t>
      </w:r>
    </w:p>
    <w:p w:rsidR="004D77FC" w:rsidRDefault="004D77FC" w:rsidP="004D77FC">
      <w:pPr>
        <w:tabs>
          <w:tab w:val="left" w:pos="142"/>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щодо неінфекційних захворювань для досягнення цілей сталого розвитку в Обарівській сільській раді </w:t>
      </w:r>
    </w:p>
    <w:p w:rsidR="004D77FC" w:rsidRDefault="004D77FC" w:rsidP="004D77FC">
      <w:pPr>
        <w:tabs>
          <w:tab w:val="left" w:pos="142"/>
        </w:tabs>
        <w:spacing w:after="0" w:line="240" w:lineRule="auto"/>
        <w:jc w:val="center"/>
        <w:rPr>
          <w:rFonts w:ascii="Times New Roman" w:hAnsi="Times New Roman"/>
          <w:sz w:val="28"/>
          <w:szCs w:val="28"/>
          <w:lang w:val="uk-UA"/>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4"/>
        <w:gridCol w:w="5242"/>
        <w:gridCol w:w="1561"/>
        <w:gridCol w:w="1568"/>
        <w:gridCol w:w="26"/>
        <w:gridCol w:w="31"/>
      </w:tblGrid>
      <w:tr w:rsidR="004D77FC" w:rsidRPr="004C3285" w:rsidTr="009D772B">
        <w:trPr>
          <w:gridAfter w:val="2"/>
          <w:wAfter w:w="55" w:type="dxa"/>
          <w:trHeight w:val="431"/>
          <w:tblHeader/>
        </w:trPr>
        <w:tc>
          <w:tcPr>
            <w:tcW w:w="1529" w:type="dxa"/>
            <w:shd w:val="clear" w:color="auto" w:fill="auto"/>
            <w:tcMar>
              <w:top w:w="15" w:type="dxa"/>
              <w:left w:w="15" w:type="dxa"/>
              <w:bottom w:w="15" w:type="dxa"/>
              <w:right w:w="15" w:type="dxa"/>
            </w:tcMar>
            <w:vAlign w:val="center"/>
            <w:hideMark/>
          </w:tcPr>
          <w:p w:rsidR="004D77FC" w:rsidRPr="004C3285" w:rsidRDefault="004D77FC" w:rsidP="009D772B">
            <w:pPr>
              <w:spacing w:before="100" w:beforeAutospacing="1" w:after="100" w:afterAutospacing="1" w:line="240" w:lineRule="auto"/>
              <w:jc w:val="center"/>
              <w:rPr>
                <w:rFonts w:ascii="Verdana" w:eastAsia="Times New Roman" w:hAnsi="Verdana" w:cs="Times New Roman"/>
                <w:color w:val="000000"/>
                <w:sz w:val="16"/>
                <w:szCs w:val="16"/>
                <w:lang w:val="uk-UA" w:eastAsia="uk-UA"/>
              </w:rPr>
            </w:pPr>
            <w:r w:rsidRPr="004C3285">
              <w:rPr>
                <w:rFonts w:ascii="'sans-serif'" w:eastAsia="Times New Roman" w:hAnsi="'sans-serif'" w:cs="Times New Roman"/>
                <w:b/>
                <w:bCs/>
                <w:color w:val="000000"/>
                <w:sz w:val="20"/>
                <w:szCs w:val="20"/>
                <w:lang w:val="uk-UA" w:eastAsia="uk-UA"/>
              </w:rPr>
              <w:t>Найменування завдання</w:t>
            </w:r>
          </w:p>
        </w:tc>
        <w:tc>
          <w:tcPr>
            <w:tcW w:w="5088" w:type="dxa"/>
            <w:shd w:val="clear" w:color="auto" w:fill="auto"/>
            <w:tcMar>
              <w:top w:w="15" w:type="dxa"/>
              <w:left w:w="15" w:type="dxa"/>
              <w:bottom w:w="15" w:type="dxa"/>
              <w:right w:w="15" w:type="dxa"/>
            </w:tcMar>
            <w:vAlign w:val="center"/>
            <w:hideMark/>
          </w:tcPr>
          <w:p w:rsidR="004D77FC" w:rsidRPr="004C3285" w:rsidRDefault="004D77FC" w:rsidP="009D772B">
            <w:pPr>
              <w:spacing w:before="100" w:beforeAutospacing="1" w:after="100" w:afterAutospacing="1" w:line="240" w:lineRule="auto"/>
              <w:jc w:val="center"/>
              <w:rPr>
                <w:rFonts w:ascii="Verdana" w:eastAsia="Times New Roman" w:hAnsi="Verdana" w:cs="Times New Roman"/>
                <w:color w:val="000000"/>
                <w:sz w:val="16"/>
                <w:szCs w:val="16"/>
                <w:lang w:val="uk-UA" w:eastAsia="uk-UA"/>
              </w:rPr>
            </w:pPr>
            <w:r w:rsidRPr="004C3285">
              <w:rPr>
                <w:rFonts w:ascii="'sans-serif'" w:eastAsia="Times New Roman" w:hAnsi="'sans-serif'" w:cs="Times New Roman"/>
                <w:b/>
                <w:bCs/>
                <w:color w:val="000000"/>
                <w:sz w:val="20"/>
                <w:szCs w:val="20"/>
                <w:lang w:val="uk-UA" w:eastAsia="uk-UA"/>
              </w:rPr>
              <w:t>Найменування заходу</w:t>
            </w:r>
          </w:p>
        </w:tc>
        <w:tc>
          <w:tcPr>
            <w:tcW w:w="1515" w:type="dxa"/>
            <w:shd w:val="clear" w:color="auto" w:fill="auto"/>
            <w:tcMar>
              <w:top w:w="15" w:type="dxa"/>
              <w:left w:w="15" w:type="dxa"/>
              <w:bottom w:w="15" w:type="dxa"/>
              <w:right w:w="15" w:type="dxa"/>
            </w:tcMar>
            <w:vAlign w:val="center"/>
            <w:hideMark/>
          </w:tcPr>
          <w:p w:rsidR="004D77FC" w:rsidRPr="004C3285" w:rsidRDefault="004D77FC" w:rsidP="009D772B">
            <w:pPr>
              <w:spacing w:before="100" w:beforeAutospacing="1" w:after="100" w:afterAutospacing="1" w:line="240" w:lineRule="auto"/>
              <w:ind w:left="-195" w:firstLine="195"/>
              <w:jc w:val="center"/>
              <w:rPr>
                <w:rFonts w:ascii="Verdana" w:eastAsia="Times New Roman" w:hAnsi="Verdana" w:cs="Times New Roman"/>
                <w:color w:val="000000"/>
                <w:sz w:val="16"/>
                <w:szCs w:val="16"/>
                <w:lang w:val="uk-UA" w:eastAsia="uk-UA"/>
              </w:rPr>
            </w:pPr>
            <w:r w:rsidRPr="004C3285">
              <w:rPr>
                <w:rFonts w:ascii="'sans-serif'" w:eastAsia="Times New Roman" w:hAnsi="'sans-serif'" w:cs="Times New Roman"/>
                <w:b/>
                <w:bCs/>
                <w:color w:val="000000"/>
                <w:sz w:val="20"/>
                <w:szCs w:val="20"/>
                <w:lang w:val="uk-UA" w:eastAsia="uk-UA"/>
              </w:rPr>
              <w:t>Відповідальний за виконання</w:t>
            </w:r>
          </w:p>
        </w:tc>
        <w:tc>
          <w:tcPr>
            <w:tcW w:w="1522" w:type="dxa"/>
            <w:shd w:val="clear" w:color="auto" w:fill="auto"/>
            <w:tcMar>
              <w:top w:w="15" w:type="dxa"/>
              <w:left w:w="15" w:type="dxa"/>
              <w:bottom w:w="15" w:type="dxa"/>
              <w:right w:w="15" w:type="dxa"/>
            </w:tcMar>
            <w:vAlign w:val="center"/>
            <w:hideMark/>
          </w:tcPr>
          <w:p w:rsidR="004D77FC" w:rsidRPr="004C3285" w:rsidRDefault="004D77FC" w:rsidP="009D772B">
            <w:pPr>
              <w:spacing w:before="100" w:beforeAutospacing="1" w:after="100" w:afterAutospacing="1" w:line="240" w:lineRule="auto"/>
              <w:jc w:val="center"/>
              <w:rPr>
                <w:rFonts w:ascii="Verdana" w:eastAsia="Times New Roman" w:hAnsi="Verdana" w:cs="Times New Roman"/>
                <w:color w:val="000000"/>
                <w:sz w:val="16"/>
                <w:szCs w:val="16"/>
                <w:lang w:val="uk-UA" w:eastAsia="uk-UA"/>
              </w:rPr>
            </w:pPr>
            <w:r w:rsidRPr="004C3285">
              <w:rPr>
                <w:rFonts w:ascii="'sans-serif'" w:eastAsia="Times New Roman" w:hAnsi="'sans-serif'" w:cs="Times New Roman"/>
                <w:b/>
                <w:bCs/>
                <w:color w:val="000000"/>
                <w:sz w:val="20"/>
                <w:szCs w:val="20"/>
                <w:lang w:val="uk-UA" w:eastAsia="uk-UA"/>
              </w:rPr>
              <w:t>Строк виконання</w:t>
            </w:r>
          </w:p>
        </w:tc>
      </w:tr>
      <w:tr w:rsidR="004D77FC" w:rsidRPr="004C3285" w:rsidTr="009D772B">
        <w:trPr>
          <w:trHeight w:val="130"/>
          <w:tblHeader/>
        </w:trPr>
        <w:tc>
          <w:tcPr>
            <w:tcW w:w="1529" w:type="dxa"/>
            <w:shd w:val="clear" w:color="auto" w:fill="auto"/>
            <w:vAlign w:val="center"/>
            <w:hideMark/>
          </w:tcPr>
          <w:p w:rsidR="004D77FC" w:rsidRPr="004C3285" w:rsidRDefault="004D77FC" w:rsidP="009D772B">
            <w:pPr>
              <w:spacing w:after="0" w:line="130" w:lineRule="atLeast"/>
              <w:jc w:val="center"/>
              <w:rPr>
                <w:rFonts w:ascii="Verdana" w:eastAsia="Times New Roman" w:hAnsi="Verdana" w:cs="Times New Roman"/>
                <w:color w:val="000000"/>
                <w:sz w:val="16"/>
                <w:szCs w:val="16"/>
                <w:lang w:val="uk-UA" w:eastAsia="uk-UA"/>
              </w:rPr>
            </w:pPr>
            <w:r>
              <w:rPr>
                <w:rFonts w:ascii="Verdana" w:eastAsia="Times New Roman" w:hAnsi="Verdana" w:cs="Times New Roman"/>
                <w:color w:val="000000"/>
                <w:sz w:val="16"/>
                <w:szCs w:val="16"/>
                <w:lang w:val="uk-UA" w:eastAsia="uk-UA"/>
              </w:rPr>
              <w:t>1</w:t>
            </w:r>
          </w:p>
        </w:tc>
        <w:tc>
          <w:tcPr>
            <w:tcW w:w="5088" w:type="dxa"/>
            <w:shd w:val="clear" w:color="auto" w:fill="auto"/>
            <w:tcMar>
              <w:top w:w="15" w:type="dxa"/>
              <w:left w:w="15" w:type="dxa"/>
              <w:bottom w:w="15" w:type="dxa"/>
              <w:right w:w="15" w:type="dxa"/>
            </w:tcMar>
            <w:vAlign w:val="center"/>
            <w:hideMark/>
          </w:tcPr>
          <w:p w:rsidR="004D77FC" w:rsidRPr="004C3285" w:rsidRDefault="004D77FC" w:rsidP="009D772B">
            <w:pPr>
              <w:spacing w:before="100" w:beforeAutospacing="1" w:after="100" w:afterAutospacing="1" w:line="130" w:lineRule="atLeast"/>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2</w:t>
            </w:r>
          </w:p>
        </w:tc>
        <w:tc>
          <w:tcPr>
            <w:tcW w:w="1515" w:type="dxa"/>
            <w:shd w:val="clear" w:color="auto" w:fill="auto"/>
            <w:tcMar>
              <w:top w:w="15" w:type="dxa"/>
              <w:left w:w="15" w:type="dxa"/>
              <w:bottom w:w="15" w:type="dxa"/>
              <w:right w:w="15" w:type="dxa"/>
            </w:tcMar>
            <w:vAlign w:val="center"/>
            <w:hideMark/>
          </w:tcPr>
          <w:p w:rsidR="004D77FC" w:rsidRPr="004C3285" w:rsidRDefault="004D77FC" w:rsidP="009D772B">
            <w:pPr>
              <w:spacing w:before="100" w:beforeAutospacing="1" w:after="100" w:afterAutospacing="1" w:line="130" w:lineRule="atLeast"/>
              <w:jc w:val="center"/>
              <w:rPr>
                <w:rFonts w:ascii="Verdana" w:eastAsia="Times New Roman" w:hAnsi="Verdana" w:cs="Times New Roman"/>
                <w:color w:val="000000"/>
                <w:sz w:val="16"/>
                <w:szCs w:val="16"/>
                <w:lang w:val="uk-UA" w:eastAsia="uk-UA"/>
              </w:rPr>
            </w:pPr>
            <w:r>
              <w:rPr>
                <w:rFonts w:ascii="Verdana" w:eastAsia="Times New Roman" w:hAnsi="Verdana" w:cs="Times New Roman"/>
                <w:color w:val="000000"/>
                <w:sz w:val="16"/>
                <w:szCs w:val="16"/>
                <w:lang w:val="uk-UA" w:eastAsia="uk-UA"/>
              </w:rPr>
              <w:t>3</w:t>
            </w:r>
          </w:p>
        </w:tc>
        <w:tc>
          <w:tcPr>
            <w:tcW w:w="1522" w:type="dxa"/>
            <w:shd w:val="clear" w:color="auto" w:fill="auto"/>
            <w:tcMar>
              <w:top w:w="15" w:type="dxa"/>
              <w:left w:w="15" w:type="dxa"/>
              <w:bottom w:w="15" w:type="dxa"/>
              <w:right w:w="15" w:type="dxa"/>
            </w:tcMar>
            <w:vAlign w:val="center"/>
            <w:hideMark/>
          </w:tcPr>
          <w:p w:rsidR="004D77FC" w:rsidRPr="004C3285" w:rsidRDefault="004D77FC" w:rsidP="009D772B">
            <w:pPr>
              <w:spacing w:before="100" w:beforeAutospacing="1" w:after="100" w:afterAutospacing="1" w:line="130" w:lineRule="atLeast"/>
              <w:ind w:left="-195" w:firstLine="195"/>
              <w:jc w:val="center"/>
              <w:rPr>
                <w:rFonts w:ascii="Verdana" w:eastAsia="Times New Roman" w:hAnsi="Verdana" w:cs="Times New Roman"/>
                <w:color w:val="000000"/>
                <w:sz w:val="16"/>
                <w:szCs w:val="16"/>
                <w:lang w:val="uk-UA" w:eastAsia="uk-UA"/>
              </w:rPr>
            </w:pPr>
            <w:r>
              <w:rPr>
                <w:rFonts w:ascii="Verdana" w:eastAsia="Times New Roman" w:hAnsi="Verdana" w:cs="Times New Roman"/>
                <w:color w:val="000000"/>
                <w:sz w:val="16"/>
                <w:szCs w:val="16"/>
                <w:lang w:val="uk-UA" w:eastAsia="uk-UA"/>
              </w:rPr>
              <w:t>4</w:t>
            </w:r>
          </w:p>
        </w:tc>
        <w:tc>
          <w:tcPr>
            <w:tcW w:w="55" w:type="dxa"/>
            <w:gridSpan w:val="2"/>
            <w:tcBorders>
              <w:top w:val="nil"/>
              <w:bottom w:val="nil"/>
            </w:tcBorders>
            <w:shd w:val="clear" w:color="auto" w:fill="auto"/>
            <w:tcMar>
              <w:top w:w="15" w:type="dxa"/>
              <w:left w:w="15" w:type="dxa"/>
              <w:bottom w:w="15" w:type="dxa"/>
              <w:right w:w="15" w:type="dxa"/>
            </w:tcMar>
            <w:vAlign w:val="center"/>
            <w:hideMark/>
          </w:tcPr>
          <w:p w:rsidR="004D77FC" w:rsidRPr="004C3285" w:rsidRDefault="004D77FC" w:rsidP="009D772B">
            <w:pPr>
              <w:spacing w:before="100" w:beforeAutospacing="1" w:after="100" w:afterAutospacing="1" w:line="130" w:lineRule="atLeast"/>
              <w:jc w:val="center"/>
              <w:rPr>
                <w:rFonts w:ascii="Verdana" w:eastAsia="Times New Roman" w:hAnsi="Verdana" w:cs="Times New Roman"/>
                <w:color w:val="000000"/>
                <w:sz w:val="16"/>
                <w:szCs w:val="16"/>
                <w:lang w:val="uk-UA" w:eastAsia="uk-UA"/>
              </w:rPr>
            </w:pPr>
          </w:p>
        </w:tc>
      </w:tr>
      <w:tr w:rsidR="004D77FC" w:rsidRPr="004C3285" w:rsidTr="009D772B">
        <w:trPr>
          <w:gridAfter w:val="2"/>
          <w:wAfter w:w="55" w:type="dxa"/>
          <w:trHeight w:val="640"/>
        </w:trPr>
        <w:tc>
          <w:tcPr>
            <w:tcW w:w="9654" w:type="dxa"/>
            <w:gridSpan w:val="4"/>
            <w:tcBorders>
              <w:top w:val="nil"/>
              <w:right w:val="single" w:sz="4" w:space="0" w:color="auto"/>
            </w:tcBorders>
            <w:shd w:val="clear" w:color="auto" w:fill="auto"/>
            <w:vAlign w:val="cente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sidRPr="004C3285">
              <w:rPr>
                <w:rFonts w:ascii="'sans-serif'" w:eastAsia="Times New Roman" w:hAnsi="'sans-serif'" w:cs="Times New Roman"/>
                <w:b/>
                <w:bCs/>
                <w:color w:val="000000"/>
                <w:sz w:val="20"/>
                <w:szCs w:val="20"/>
                <w:lang w:val="uk-UA" w:eastAsia="uk-UA"/>
              </w:rPr>
              <w:t>Міжсекторальна взаємодія щодо підвищення рівня поінформованості та обізнаності населення з питань профілактики неінфекційних захворювань</w:t>
            </w:r>
          </w:p>
        </w:tc>
      </w:tr>
      <w:tr w:rsidR="004D77FC" w:rsidRPr="004C3285" w:rsidTr="009D772B">
        <w:trPr>
          <w:gridAfter w:val="1"/>
          <w:wAfter w:w="30" w:type="dxa"/>
          <w:trHeight w:val="1120"/>
        </w:trPr>
        <w:tc>
          <w:tcPr>
            <w:tcW w:w="1529" w:type="dxa"/>
            <w:vMerge w:val="restart"/>
            <w:shd w:val="clear" w:color="auto" w:fill="auto"/>
            <w:hideMark/>
          </w:tcPr>
          <w:p w:rsidR="004D77FC" w:rsidRPr="004C3285" w:rsidRDefault="004D77FC" w:rsidP="009D772B">
            <w:pPr>
              <w:spacing w:after="0" w:line="240" w:lineRule="auto"/>
              <w:ind w:left="157" w:hanging="157"/>
              <w:rPr>
                <w:rFonts w:ascii="Verdana" w:eastAsia="Times New Roman" w:hAnsi="Verdana" w:cs="Times New Roman"/>
                <w:color w:val="000000"/>
                <w:sz w:val="16"/>
                <w:szCs w:val="16"/>
                <w:lang w:val="uk-UA" w:eastAsia="uk-UA"/>
              </w:rPr>
            </w:pPr>
            <w:r w:rsidRPr="004C3285">
              <w:rPr>
                <w:rFonts w:ascii="Verdana" w:eastAsia="Times New Roman" w:hAnsi="Verdana" w:cs="Times New Roman"/>
                <w:color w:val="000000"/>
                <w:sz w:val="16"/>
                <w:szCs w:val="16"/>
                <w:lang w:val="uk-UA" w:eastAsia="uk-UA"/>
              </w:rPr>
              <w:t> </w:t>
            </w:r>
            <w:r w:rsidRPr="004C3285">
              <w:rPr>
                <w:rFonts w:ascii="'sans-serif'" w:eastAsia="Times New Roman" w:hAnsi="'sans-serif'" w:cs="Times New Roman"/>
                <w:color w:val="000000"/>
                <w:sz w:val="20"/>
                <w:szCs w:val="20"/>
                <w:lang w:val="uk-UA" w:eastAsia="uk-UA"/>
              </w:rPr>
              <w:t>1.</w:t>
            </w:r>
            <w:r>
              <w:rPr>
                <w:rFonts w:ascii="'sans-serif'" w:eastAsia="Times New Roman" w:hAnsi="'sans-serif'" w:cs="Times New Roman"/>
                <w:color w:val="000000"/>
                <w:sz w:val="20"/>
                <w:szCs w:val="20"/>
                <w:lang w:val="uk-UA" w:eastAsia="uk-UA"/>
              </w:rPr>
              <w:t xml:space="preserve"> </w:t>
            </w:r>
            <w:r w:rsidRPr="004C3285">
              <w:rPr>
                <w:rFonts w:ascii="'sans-serif'" w:eastAsia="Times New Roman" w:hAnsi="'sans-serif'" w:cs="Times New Roman"/>
                <w:color w:val="000000"/>
                <w:sz w:val="20"/>
                <w:szCs w:val="20"/>
                <w:lang w:val="uk-UA" w:eastAsia="uk-UA"/>
              </w:rPr>
              <w:t>Формування інформаційної політики та забезпечення громадської підтримки у напрямі профілактики неінфекційних захворювань</w:t>
            </w:r>
          </w:p>
          <w:p w:rsidR="004D77FC" w:rsidRDefault="004D77FC" w:rsidP="009D772B">
            <w:pPr>
              <w:spacing w:after="0" w:line="240" w:lineRule="auto"/>
              <w:ind w:left="157" w:hanging="157"/>
              <w:rPr>
                <w:rFonts w:ascii="Verdana" w:eastAsia="Times New Roman" w:hAnsi="Verdana" w:cs="Times New Roman"/>
                <w:color w:val="000000"/>
                <w:sz w:val="16"/>
                <w:szCs w:val="16"/>
                <w:lang w:val="uk-UA" w:eastAsia="uk-UA"/>
              </w:rPr>
            </w:pPr>
          </w:p>
          <w:p w:rsidR="004D77FC" w:rsidRPr="004C3285" w:rsidRDefault="004D77FC" w:rsidP="009D772B">
            <w:pPr>
              <w:ind w:left="157" w:hanging="157"/>
              <w:rPr>
                <w:rFonts w:ascii="Verdana" w:eastAsia="Times New Roman" w:hAnsi="Verdana" w:cs="Times New Roman"/>
                <w:color w:val="000000"/>
                <w:sz w:val="16"/>
                <w:szCs w:val="16"/>
                <w:lang w:val="uk-UA" w:eastAsia="uk-UA"/>
              </w:rPr>
            </w:pPr>
          </w:p>
        </w:tc>
        <w:tc>
          <w:tcPr>
            <w:tcW w:w="5088"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left="127" w:right="186" w:hanging="127"/>
              <w:jc w:val="both"/>
              <w:rPr>
                <w:rFonts w:ascii="Verdana" w:eastAsia="Times New Roman" w:hAnsi="Verdana" w:cs="Times New Roman"/>
                <w:color w:val="000000"/>
                <w:sz w:val="16"/>
                <w:szCs w:val="16"/>
                <w:lang w:val="uk-UA" w:eastAsia="uk-UA"/>
              </w:rPr>
            </w:pPr>
            <w:r w:rsidRPr="004C3285">
              <w:rPr>
                <w:rFonts w:ascii="'sans-serif'" w:eastAsia="Times New Roman" w:hAnsi="'sans-serif'" w:cs="Times New Roman"/>
                <w:color w:val="000000"/>
                <w:sz w:val="20"/>
                <w:szCs w:val="20"/>
                <w:lang w:val="uk-UA" w:eastAsia="uk-UA"/>
              </w:rPr>
              <w:t>1)</w:t>
            </w:r>
            <w:r>
              <w:rPr>
                <w:rFonts w:ascii="'sans-serif'" w:eastAsia="Times New Roman" w:hAnsi="'sans-serif'" w:cs="Times New Roman"/>
                <w:color w:val="000000"/>
                <w:sz w:val="20"/>
                <w:szCs w:val="20"/>
                <w:lang w:val="uk-UA" w:eastAsia="uk-UA"/>
              </w:rPr>
              <w:t xml:space="preserve"> </w:t>
            </w:r>
            <w:r w:rsidRPr="004C3285">
              <w:rPr>
                <w:rFonts w:ascii="'sans-serif'" w:eastAsia="Times New Roman" w:hAnsi="'sans-serif'" w:cs="Times New Roman"/>
                <w:color w:val="000000"/>
                <w:sz w:val="20"/>
                <w:szCs w:val="20"/>
                <w:lang w:val="uk-UA" w:eastAsia="uk-UA"/>
              </w:rPr>
              <w:t>забезпечення організації та проведення інформаційних кампаній для населення щодо основних факторів ризику неінфекційних захворювань (поведінкових, соціально-економічних, спадкових, несприятливих факторів навколишнього природного середовища, шкідливих факторів професійного середовища тощо), зокрема щодо небезпечних для здоров’я наслідків куріння, в тому числі електронних сигарет і кальяну, шкідливого впливу вторинного тютюнового диму (пасивного куріння), розвитку тютюнової залежності, медичних, соціальних та економічних втрат унаслідок вживання тютюну, щодо масштабів надмірного вживання алкоголю, а також щодо наслідків та шкоди для здоров’я населення, соціально-економічних проблем, пов’язаних з надмірним вживанням алкоголю</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p>
        </w:tc>
        <w:tc>
          <w:tcPr>
            <w:tcW w:w="25" w:type="dxa"/>
            <w:tcBorders>
              <w:top w:val="nil"/>
              <w:bottom w:val="nil"/>
              <w:right w:val="nil"/>
            </w:tcBorders>
            <w:vAlign w:val="center"/>
            <w:hideMark/>
          </w:tcPr>
          <w:p w:rsidR="004D77FC" w:rsidRPr="004C3285"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4C3285" w:rsidTr="009D772B">
        <w:trPr>
          <w:gridAfter w:val="1"/>
          <w:wAfter w:w="30" w:type="dxa"/>
          <w:trHeight w:val="1120"/>
        </w:trPr>
        <w:tc>
          <w:tcPr>
            <w:tcW w:w="1529" w:type="dxa"/>
            <w:vMerge/>
            <w:shd w:val="clear" w:color="auto" w:fill="auto"/>
            <w:hideMark/>
          </w:tcPr>
          <w:p w:rsidR="004D77FC" w:rsidRPr="004C3285" w:rsidRDefault="004D77FC" w:rsidP="009D772B">
            <w:pPr>
              <w:spacing w:after="0" w:line="240" w:lineRule="auto"/>
              <w:ind w:left="157" w:hanging="157"/>
              <w:rPr>
                <w:rFonts w:ascii="Verdana" w:eastAsia="Times New Roman" w:hAnsi="Verdana" w:cs="Times New Roman"/>
                <w:color w:val="000000"/>
                <w:sz w:val="16"/>
                <w:szCs w:val="16"/>
                <w:lang w:val="uk-UA" w:eastAsia="uk-UA"/>
              </w:rPr>
            </w:pPr>
          </w:p>
        </w:tc>
        <w:tc>
          <w:tcPr>
            <w:tcW w:w="5088" w:type="dxa"/>
            <w:shd w:val="clear" w:color="auto" w:fill="auto"/>
            <w:tcMar>
              <w:top w:w="15" w:type="dxa"/>
              <w:left w:w="15" w:type="dxa"/>
              <w:bottom w:w="15" w:type="dxa"/>
              <w:right w:w="15" w:type="dxa"/>
            </w:tcMar>
            <w:hideMark/>
          </w:tcPr>
          <w:p w:rsidR="004D77FC" w:rsidRPr="004C3285" w:rsidRDefault="004D77FC" w:rsidP="009D772B">
            <w:pPr>
              <w:pStyle w:val="a3"/>
              <w:spacing w:after="0"/>
              <w:ind w:left="127" w:right="126" w:hanging="127"/>
              <w:jc w:val="both"/>
              <w:rPr>
                <w:rFonts w:ascii="'sans-serif'" w:hAnsi="'sans-serif'"/>
                <w:color w:val="000000"/>
                <w:sz w:val="20"/>
                <w:szCs w:val="20"/>
                <w:lang w:val="uk-UA" w:eastAsia="uk-UA"/>
              </w:rPr>
            </w:pPr>
            <w:r>
              <w:rPr>
                <w:rFonts w:ascii="'sans-serif'" w:hAnsi="'sans-serif'"/>
                <w:color w:val="000000"/>
                <w:sz w:val="20"/>
                <w:szCs w:val="20"/>
                <w:lang w:val="uk-UA"/>
              </w:rPr>
              <w:t xml:space="preserve">2) </w:t>
            </w:r>
            <w:r w:rsidRPr="00000B10">
              <w:rPr>
                <w:rFonts w:ascii="'sans-serif'" w:hAnsi="'sans-serif'"/>
                <w:color w:val="000000"/>
                <w:sz w:val="20"/>
                <w:szCs w:val="20"/>
                <w:lang w:val="uk-UA"/>
              </w:rPr>
              <w:t xml:space="preserve">підвищення рівня обізнаності населення </w:t>
            </w:r>
            <w:r>
              <w:rPr>
                <w:rFonts w:ascii="'sans-serif'" w:hAnsi="'sans-serif'"/>
                <w:color w:val="000000"/>
                <w:sz w:val="20"/>
                <w:szCs w:val="20"/>
                <w:lang w:val="uk-UA"/>
              </w:rPr>
              <w:t xml:space="preserve">сільської ради </w:t>
            </w:r>
            <w:r w:rsidRPr="00000B10">
              <w:rPr>
                <w:rFonts w:ascii="'sans-serif'" w:hAnsi="'sans-serif'"/>
                <w:color w:val="000000"/>
                <w:sz w:val="20"/>
                <w:szCs w:val="20"/>
                <w:lang w:val="uk-UA"/>
              </w:rPr>
              <w:t>щодо соціальної та економічної важливості безпеки дорожнього руху, причин і наслідків травматизму в дорожньо-транспортних пригодах та сприяння усвідомленню суспільством значення таких ризиків для здоров’я населення; залучення до формування практики безпеки на дорогах представників страхових компаній, розробників обладнання для безпечного перевезення (дитячих крісел, шоломів), організацій автомобілістів та медичних асоціацій</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p>
        </w:tc>
        <w:tc>
          <w:tcPr>
            <w:tcW w:w="25" w:type="dxa"/>
            <w:tcBorders>
              <w:top w:val="nil"/>
              <w:bottom w:val="nil"/>
              <w:right w:val="nil"/>
            </w:tcBorders>
            <w:vAlign w:val="center"/>
            <w:hideMark/>
          </w:tcPr>
          <w:p w:rsidR="004D77FC" w:rsidRPr="004C3285"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4C3285" w:rsidTr="009D772B">
        <w:trPr>
          <w:gridAfter w:val="1"/>
          <w:wAfter w:w="30" w:type="dxa"/>
          <w:trHeight w:val="1120"/>
        </w:trPr>
        <w:tc>
          <w:tcPr>
            <w:tcW w:w="1529" w:type="dxa"/>
            <w:vMerge/>
            <w:shd w:val="clear" w:color="auto" w:fill="auto"/>
            <w:hideMark/>
          </w:tcPr>
          <w:p w:rsidR="004D77FC" w:rsidRDefault="004D77FC" w:rsidP="009D772B">
            <w:pPr>
              <w:spacing w:after="0" w:line="240" w:lineRule="auto"/>
              <w:ind w:left="157" w:hanging="157"/>
              <w:rPr>
                <w:rFonts w:ascii="Verdana" w:eastAsia="Times New Roman" w:hAnsi="Verdana" w:cs="Times New Roman"/>
                <w:color w:val="000000"/>
                <w:sz w:val="16"/>
                <w:szCs w:val="16"/>
                <w:lang w:val="uk-UA" w:eastAsia="uk-UA"/>
              </w:rPr>
            </w:pP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rFonts w:ascii="'sans-serif'" w:hAnsi="'sans-serif'"/>
                <w:color w:val="000000"/>
                <w:sz w:val="20"/>
                <w:szCs w:val="20"/>
                <w:lang w:val="uk-UA"/>
              </w:rPr>
            </w:pPr>
            <w:r>
              <w:rPr>
                <w:rFonts w:ascii="'sans-serif'" w:hAnsi="'sans-serif'"/>
                <w:color w:val="000000"/>
                <w:sz w:val="20"/>
                <w:szCs w:val="20"/>
                <w:lang w:val="uk-UA"/>
              </w:rPr>
              <w:t xml:space="preserve">3) </w:t>
            </w:r>
            <w:r w:rsidRPr="00B862DF">
              <w:rPr>
                <w:rFonts w:ascii="'sans-serif'" w:hAnsi="'sans-serif'"/>
                <w:color w:val="000000"/>
                <w:sz w:val="20"/>
                <w:szCs w:val="20"/>
                <w:lang w:val="uk-UA"/>
              </w:rPr>
              <w:t xml:space="preserve">підвищення рівня обізнаності населення </w:t>
            </w:r>
            <w:r>
              <w:rPr>
                <w:rFonts w:ascii="'sans-serif'" w:hAnsi="'sans-serif'"/>
                <w:color w:val="000000"/>
                <w:sz w:val="20"/>
                <w:szCs w:val="20"/>
                <w:lang w:val="uk-UA"/>
              </w:rPr>
              <w:t>сільської ради</w:t>
            </w:r>
            <w:r w:rsidRPr="00B862DF">
              <w:rPr>
                <w:rFonts w:ascii="'sans-serif'" w:hAnsi="'sans-serif'"/>
                <w:color w:val="000000"/>
                <w:sz w:val="20"/>
                <w:szCs w:val="20"/>
                <w:lang w:val="uk-UA"/>
              </w:rPr>
              <w:t xml:space="preserve"> щодо наслідків для здоров’я через контакт з азбестом, радоном та іншими небезпечними полютантами (продуктами згоряння твердого палива в приміщеннях), а також щодо шляхів мінімізації негативного впливу на здоров’я населення та зниження рівня забруднення закритих приміщень</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p>
        </w:tc>
        <w:tc>
          <w:tcPr>
            <w:tcW w:w="25" w:type="dxa"/>
            <w:tcBorders>
              <w:top w:val="nil"/>
              <w:bottom w:val="nil"/>
              <w:right w:val="nil"/>
            </w:tcBorders>
            <w:vAlign w:val="center"/>
            <w:hideMark/>
          </w:tcPr>
          <w:p w:rsidR="004D77FC" w:rsidRPr="004C3285"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4C3285" w:rsidTr="009D772B">
        <w:trPr>
          <w:gridAfter w:val="1"/>
          <w:wAfter w:w="30" w:type="dxa"/>
          <w:trHeight w:val="1120"/>
        </w:trPr>
        <w:tc>
          <w:tcPr>
            <w:tcW w:w="1529" w:type="dxa"/>
            <w:vMerge/>
            <w:shd w:val="clear" w:color="auto" w:fill="auto"/>
            <w:hideMark/>
          </w:tcPr>
          <w:p w:rsidR="004D77FC" w:rsidRDefault="004D77FC" w:rsidP="009D772B">
            <w:pPr>
              <w:spacing w:after="0" w:line="240" w:lineRule="auto"/>
              <w:ind w:left="157" w:hanging="157"/>
              <w:rPr>
                <w:rFonts w:ascii="Verdana" w:eastAsia="Times New Roman" w:hAnsi="Verdana" w:cs="Times New Roman"/>
                <w:color w:val="000000"/>
                <w:sz w:val="16"/>
                <w:szCs w:val="16"/>
                <w:lang w:val="uk-UA" w:eastAsia="uk-UA"/>
              </w:rPr>
            </w:pP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rFonts w:ascii="'sans-serif'" w:hAnsi="'sans-serif'"/>
                <w:color w:val="000000"/>
                <w:sz w:val="20"/>
                <w:szCs w:val="20"/>
                <w:lang w:val="uk-UA"/>
              </w:rPr>
            </w:pPr>
            <w:r>
              <w:rPr>
                <w:rFonts w:ascii="'sans-serif'" w:hAnsi="'sans-serif'"/>
                <w:color w:val="000000"/>
                <w:sz w:val="20"/>
                <w:szCs w:val="20"/>
                <w:lang w:val="uk-UA"/>
              </w:rPr>
              <w:t xml:space="preserve">4) </w:t>
            </w:r>
            <w:r w:rsidRPr="00B862DF">
              <w:rPr>
                <w:rFonts w:ascii="'sans-serif'" w:hAnsi="'sans-serif'"/>
                <w:color w:val="000000"/>
                <w:sz w:val="20"/>
                <w:szCs w:val="20"/>
                <w:lang w:val="uk-UA"/>
              </w:rPr>
              <w:t xml:space="preserve">підвищення рівня обізнаності населення </w:t>
            </w:r>
            <w:r>
              <w:rPr>
                <w:rFonts w:ascii="'sans-serif'" w:hAnsi="'sans-serif'"/>
                <w:color w:val="000000"/>
                <w:sz w:val="20"/>
                <w:szCs w:val="20"/>
                <w:lang w:val="uk-UA"/>
              </w:rPr>
              <w:t xml:space="preserve">сільської ради </w:t>
            </w:r>
            <w:r w:rsidRPr="00B862DF">
              <w:rPr>
                <w:rFonts w:ascii="'sans-serif'" w:hAnsi="'sans-serif'"/>
                <w:color w:val="000000"/>
                <w:sz w:val="20"/>
                <w:szCs w:val="20"/>
                <w:lang w:val="uk-UA"/>
              </w:rPr>
              <w:t>щодо негативного впливу на здоров’я таких несприятливих факторів навколишнього природного середовища, як шум, вібрація, інсоляція, освітлення, низька та висока температура повітря, надмірна вологість</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p>
        </w:tc>
        <w:tc>
          <w:tcPr>
            <w:tcW w:w="25" w:type="dxa"/>
            <w:tcBorders>
              <w:top w:val="nil"/>
              <w:bottom w:val="nil"/>
              <w:right w:val="nil"/>
            </w:tcBorders>
            <w:vAlign w:val="center"/>
            <w:hideMark/>
          </w:tcPr>
          <w:p w:rsidR="004D77FC" w:rsidRPr="004C3285"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4C3285" w:rsidTr="009D772B">
        <w:trPr>
          <w:gridAfter w:val="1"/>
          <w:wAfter w:w="30" w:type="dxa"/>
          <w:trHeight w:val="485"/>
        </w:trPr>
        <w:tc>
          <w:tcPr>
            <w:tcW w:w="1529" w:type="dxa"/>
            <w:vMerge/>
            <w:shd w:val="clear" w:color="auto" w:fill="auto"/>
            <w:hideMark/>
          </w:tcPr>
          <w:p w:rsidR="004D77FC" w:rsidRDefault="004D77FC" w:rsidP="009D772B">
            <w:pPr>
              <w:spacing w:after="0" w:line="240" w:lineRule="auto"/>
              <w:ind w:left="157" w:hanging="157"/>
              <w:rPr>
                <w:rFonts w:ascii="Verdana" w:eastAsia="Times New Roman" w:hAnsi="Verdana" w:cs="Times New Roman"/>
                <w:color w:val="000000"/>
                <w:sz w:val="16"/>
                <w:szCs w:val="16"/>
                <w:lang w:val="uk-UA" w:eastAsia="uk-UA"/>
              </w:rPr>
            </w:pP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42"/>
              <w:jc w:val="both"/>
              <w:rPr>
                <w:rFonts w:ascii="'sans-serif'" w:hAnsi="'sans-serif'"/>
                <w:color w:val="000000"/>
                <w:sz w:val="20"/>
                <w:szCs w:val="20"/>
                <w:lang w:val="uk-UA"/>
              </w:rPr>
            </w:pPr>
            <w:r>
              <w:rPr>
                <w:rFonts w:ascii="'sans-serif'" w:hAnsi="'sans-serif'"/>
                <w:color w:val="000000"/>
                <w:sz w:val="20"/>
                <w:szCs w:val="20"/>
                <w:lang w:val="uk-UA"/>
              </w:rPr>
              <w:t>5) з</w:t>
            </w:r>
            <w:r w:rsidRPr="00374E12">
              <w:rPr>
                <w:rFonts w:ascii="'sans-serif'" w:hAnsi="'sans-serif'"/>
                <w:color w:val="000000"/>
                <w:sz w:val="20"/>
                <w:szCs w:val="20"/>
                <w:lang w:val="uk-UA"/>
              </w:rPr>
              <w:t xml:space="preserve">абезпечення трансляції та поширення серед населення </w:t>
            </w:r>
            <w:r>
              <w:rPr>
                <w:rFonts w:ascii="'sans-serif'" w:hAnsi="'sans-serif'"/>
                <w:color w:val="000000"/>
                <w:sz w:val="20"/>
                <w:szCs w:val="20"/>
                <w:lang w:val="uk-UA"/>
              </w:rPr>
              <w:t xml:space="preserve">сільської ради </w:t>
            </w:r>
            <w:r w:rsidRPr="00374E12">
              <w:rPr>
                <w:rFonts w:ascii="'sans-serif'" w:hAnsi="'sans-serif'"/>
                <w:color w:val="000000"/>
                <w:sz w:val="20"/>
                <w:szCs w:val="20"/>
                <w:lang w:val="uk-UA"/>
              </w:rPr>
              <w:t>аудіовізуальної інформації, зокрема через мережу «Інтернет», і друкованих матеріалів стосовно шкідливого впливу на здоров’я вживання тютюну, надмірного вживання алкоголю, нездорового харчування та низької фізичної активності, а також щодо негативного впливу забруднення повітря та інших несприятливих факторів навколишнього природного середовища</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p>
        </w:tc>
        <w:tc>
          <w:tcPr>
            <w:tcW w:w="25" w:type="dxa"/>
            <w:tcBorders>
              <w:top w:val="nil"/>
              <w:bottom w:val="nil"/>
              <w:right w:val="nil"/>
            </w:tcBorders>
            <w:vAlign w:val="center"/>
            <w:hideMark/>
          </w:tcPr>
          <w:p w:rsidR="004D77FC" w:rsidRPr="004C3285"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4C3285" w:rsidTr="009D772B">
        <w:trPr>
          <w:gridAfter w:val="1"/>
          <w:wAfter w:w="30" w:type="dxa"/>
          <w:trHeight w:val="662"/>
        </w:trPr>
        <w:tc>
          <w:tcPr>
            <w:tcW w:w="1529" w:type="dxa"/>
            <w:vMerge w:val="restart"/>
            <w:tcBorders>
              <w:top w:val="nil"/>
            </w:tcBorders>
            <w:shd w:val="clear" w:color="auto" w:fill="auto"/>
            <w:hideMark/>
          </w:tcPr>
          <w:p w:rsidR="004D77FC" w:rsidRDefault="004D77FC" w:rsidP="009D772B">
            <w:pPr>
              <w:spacing w:after="0" w:line="240" w:lineRule="auto"/>
              <w:ind w:left="157" w:hanging="157"/>
              <w:rPr>
                <w:rFonts w:ascii="Verdana" w:eastAsia="Times New Roman" w:hAnsi="Verdana" w:cs="Times New Roman"/>
                <w:color w:val="000000"/>
                <w:sz w:val="16"/>
                <w:szCs w:val="16"/>
                <w:lang w:val="uk-UA" w:eastAsia="uk-UA"/>
              </w:rPr>
            </w:pPr>
          </w:p>
        </w:tc>
        <w:tc>
          <w:tcPr>
            <w:tcW w:w="5088" w:type="dxa"/>
            <w:shd w:val="clear" w:color="auto" w:fill="auto"/>
            <w:tcMar>
              <w:top w:w="15" w:type="dxa"/>
              <w:left w:w="15" w:type="dxa"/>
              <w:bottom w:w="15" w:type="dxa"/>
              <w:right w:w="15" w:type="dxa"/>
            </w:tcMar>
            <w:hideMark/>
          </w:tcPr>
          <w:p w:rsidR="004D77FC" w:rsidRPr="00374E12" w:rsidRDefault="004D77FC" w:rsidP="009D772B">
            <w:pPr>
              <w:pStyle w:val="a3"/>
              <w:spacing w:after="0"/>
              <w:ind w:left="127" w:right="126" w:hanging="127"/>
              <w:jc w:val="both"/>
              <w:rPr>
                <w:rFonts w:ascii="'sans-serif'" w:hAnsi="'sans-serif'"/>
                <w:color w:val="000000"/>
                <w:sz w:val="20"/>
                <w:szCs w:val="20"/>
              </w:rPr>
            </w:pPr>
            <w:r>
              <w:rPr>
                <w:rFonts w:ascii="'sans-serif'" w:hAnsi="'sans-serif'"/>
                <w:color w:val="000000"/>
                <w:sz w:val="20"/>
                <w:szCs w:val="20"/>
                <w:lang w:val="uk-UA"/>
              </w:rPr>
              <w:t xml:space="preserve">6) </w:t>
            </w:r>
            <w:r>
              <w:rPr>
                <w:rFonts w:ascii="'sans-serif'" w:hAnsi="'sans-serif'"/>
                <w:color w:val="000000"/>
                <w:sz w:val="20"/>
                <w:szCs w:val="20"/>
              </w:rPr>
              <w:t xml:space="preserve">підвищення рівня обізнаності населення </w:t>
            </w:r>
            <w:r>
              <w:rPr>
                <w:rFonts w:ascii="'sans-serif'" w:hAnsi="'sans-serif'"/>
                <w:color w:val="000000"/>
                <w:sz w:val="20"/>
                <w:szCs w:val="20"/>
                <w:lang w:val="uk-UA"/>
              </w:rPr>
              <w:t>сільської ради</w:t>
            </w:r>
            <w:r>
              <w:rPr>
                <w:rFonts w:ascii="'sans-serif'" w:hAnsi="'sans-serif'"/>
                <w:color w:val="000000"/>
                <w:sz w:val="20"/>
                <w:szCs w:val="20"/>
              </w:rPr>
              <w:t xml:space="preserve"> про оздоровчий вплив природних факторів у рекреаційних зонах</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p>
        </w:tc>
        <w:tc>
          <w:tcPr>
            <w:tcW w:w="25" w:type="dxa"/>
            <w:tcBorders>
              <w:top w:val="nil"/>
              <w:bottom w:val="nil"/>
              <w:right w:val="nil"/>
            </w:tcBorders>
            <w:vAlign w:val="center"/>
            <w:hideMark/>
          </w:tcPr>
          <w:p w:rsidR="004D77FC" w:rsidRPr="004C3285"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4C3285" w:rsidTr="009D772B">
        <w:trPr>
          <w:gridAfter w:val="1"/>
          <w:wAfter w:w="30" w:type="dxa"/>
          <w:trHeight w:val="1120"/>
        </w:trPr>
        <w:tc>
          <w:tcPr>
            <w:tcW w:w="1529" w:type="dxa"/>
            <w:vMerge/>
            <w:tcBorders>
              <w:top w:val="nil"/>
            </w:tcBorders>
            <w:shd w:val="clear" w:color="auto" w:fill="auto"/>
            <w:hideMark/>
          </w:tcPr>
          <w:p w:rsidR="004D77FC" w:rsidRDefault="004D77FC" w:rsidP="009D772B">
            <w:pPr>
              <w:spacing w:after="0" w:line="240" w:lineRule="auto"/>
              <w:ind w:left="157" w:hanging="157"/>
              <w:rPr>
                <w:rFonts w:ascii="Verdana" w:eastAsia="Times New Roman" w:hAnsi="Verdana" w:cs="Times New Roman"/>
                <w:color w:val="000000"/>
                <w:sz w:val="16"/>
                <w:szCs w:val="16"/>
                <w:lang w:val="uk-UA" w:eastAsia="uk-UA"/>
              </w:rPr>
            </w:pPr>
          </w:p>
        </w:tc>
        <w:tc>
          <w:tcPr>
            <w:tcW w:w="5088" w:type="dxa"/>
            <w:shd w:val="clear" w:color="auto" w:fill="auto"/>
            <w:tcMar>
              <w:top w:w="15" w:type="dxa"/>
              <w:left w:w="15" w:type="dxa"/>
              <w:bottom w:w="15" w:type="dxa"/>
              <w:right w:w="15" w:type="dxa"/>
            </w:tcMar>
            <w:hideMark/>
          </w:tcPr>
          <w:p w:rsidR="004D77FC" w:rsidRPr="00514DDA" w:rsidRDefault="004D77FC" w:rsidP="009D772B">
            <w:pPr>
              <w:pStyle w:val="a3"/>
              <w:spacing w:after="0"/>
              <w:ind w:left="127" w:right="126" w:hanging="127"/>
              <w:jc w:val="both"/>
              <w:rPr>
                <w:rFonts w:ascii="'sans-serif'" w:hAnsi="'sans-serif'"/>
                <w:color w:val="000000"/>
                <w:sz w:val="20"/>
                <w:szCs w:val="20"/>
                <w:lang w:val="uk-UA"/>
              </w:rPr>
            </w:pPr>
            <w:r>
              <w:rPr>
                <w:rFonts w:ascii="'sans-serif'" w:hAnsi="'sans-serif'"/>
                <w:color w:val="000000"/>
                <w:sz w:val="20"/>
                <w:szCs w:val="20"/>
                <w:lang w:val="uk-UA"/>
              </w:rPr>
              <w:t xml:space="preserve">7) </w:t>
            </w:r>
            <w:r w:rsidRPr="00514DDA">
              <w:rPr>
                <w:rFonts w:ascii="'sans-serif'" w:hAnsi="'sans-serif'"/>
                <w:color w:val="000000"/>
                <w:sz w:val="20"/>
                <w:szCs w:val="20"/>
                <w:lang w:val="uk-UA"/>
              </w:rPr>
              <w:t xml:space="preserve">інформування населення </w:t>
            </w:r>
            <w:r>
              <w:rPr>
                <w:rFonts w:ascii="'sans-serif'" w:hAnsi="'sans-serif'"/>
                <w:color w:val="000000"/>
                <w:sz w:val="20"/>
                <w:szCs w:val="20"/>
                <w:lang w:val="uk-UA"/>
              </w:rPr>
              <w:t>сільської ради</w:t>
            </w:r>
            <w:r w:rsidRPr="00514DDA">
              <w:rPr>
                <w:rFonts w:ascii="'sans-serif'" w:hAnsi="'sans-serif'"/>
                <w:color w:val="000000"/>
                <w:sz w:val="20"/>
                <w:szCs w:val="20"/>
                <w:lang w:val="uk-UA"/>
              </w:rPr>
              <w:t xml:space="preserve"> про шкідливий вплив на здоров’я через недотримання режиму сну та відпочинку, в тому числі нераціональної організації навчання, праці, а також тривалого психоемоційного напруження та втоми (зниження стабільності нервової системи)</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p>
        </w:tc>
        <w:tc>
          <w:tcPr>
            <w:tcW w:w="25" w:type="dxa"/>
            <w:tcBorders>
              <w:top w:val="nil"/>
              <w:bottom w:val="nil"/>
              <w:right w:val="nil"/>
            </w:tcBorders>
            <w:vAlign w:val="center"/>
            <w:hideMark/>
          </w:tcPr>
          <w:p w:rsidR="004D77FC" w:rsidRPr="004C3285"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1120"/>
        </w:trPr>
        <w:tc>
          <w:tcPr>
            <w:tcW w:w="1529" w:type="dxa"/>
            <w:shd w:val="clear" w:color="auto" w:fill="auto"/>
            <w:hideMark/>
          </w:tcPr>
          <w:p w:rsidR="004D77FC" w:rsidRPr="00510F97"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r w:rsidRPr="00510F97">
              <w:rPr>
                <w:rFonts w:ascii="Times New Roman" w:eastAsia="Times New Roman" w:hAnsi="Times New Roman" w:cs="Times New Roman"/>
                <w:color w:val="000000"/>
                <w:sz w:val="20"/>
                <w:szCs w:val="20"/>
                <w:lang w:val="uk-UA" w:eastAsia="uk-UA"/>
              </w:rPr>
              <w:t xml:space="preserve">2. </w:t>
            </w:r>
            <w:r>
              <w:rPr>
                <w:rFonts w:ascii="Times New Roman" w:eastAsia="Times New Roman" w:hAnsi="Times New Roman" w:cs="Times New Roman"/>
                <w:color w:val="000000"/>
                <w:sz w:val="20"/>
                <w:szCs w:val="20"/>
                <w:lang w:val="uk-UA" w:eastAsia="uk-UA"/>
              </w:rPr>
              <w:t xml:space="preserve">Формування освітніх матеріалів з питань пропагування здорового способу життя та профілактики неінфекційних захворювань в навчальних програмах </w:t>
            </w: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rFonts w:ascii="Verdana" w:hAnsi="Verdana"/>
                <w:color w:val="000000"/>
                <w:sz w:val="16"/>
                <w:szCs w:val="16"/>
              </w:rPr>
            </w:pPr>
            <w:r>
              <w:rPr>
                <w:rFonts w:ascii="'sans-serif'" w:hAnsi="'sans-serif'"/>
                <w:color w:val="000000"/>
                <w:sz w:val="20"/>
                <w:szCs w:val="20"/>
                <w:lang w:val="uk-UA"/>
              </w:rPr>
              <w:t xml:space="preserve">1) </w:t>
            </w:r>
            <w:r>
              <w:rPr>
                <w:rFonts w:ascii="'sans-serif'" w:hAnsi="'sans-serif'"/>
                <w:color w:val="000000"/>
                <w:sz w:val="20"/>
                <w:szCs w:val="20"/>
              </w:rPr>
              <w:t>забезпечення впровадження в закладах загальної середньої освіти програм «Шкільна служба здоров’я»</w:t>
            </w:r>
          </w:p>
          <w:p w:rsidR="004D77FC" w:rsidRPr="003A05FD" w:rsidRDefault="004D77FC" w:rsidP="009D772B">
            <w:pPr>
              <w:pStyle w:val="a3"/>
              <w:spacing w:after="0"/>
              <w:ind w:left="127" w:right="126" w:hanging="127"/>
              <w:jc w:val="both"/>
              <w:rPr>
                <w:color w:val="000000"/>
                <w:sz w:val="20"/>
                <w:szCs w:val="20"/>
              </w:rPr>
            </w:pP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Default="004D77FC" w:rsidP="009D772B">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2019 – 2020 роки</w:t>
            </w:r>
          </w:p>
          <w:p w:rsidR="004D77FC" w:rsidRPr="004C3285" w:rsidRDefault="004D77FC" w:rsidP="009D772B">
            <w:pPr>
              <w:spacing w:after="0" w:line="240" w:lineRule="auto"/>
              <w:jc w:val="center"/>
              <w:rPr>
                <w:rFonts w:ascii="Times New Roman" w:eastAsia="Times New Roman" w:hAnsi="Times New Roman" w:cs="Times New Roman"/>
                <w:color w:val="000000"/>
                <w:sz w:val="20"/>
                <w:szCs w:val="20"/>
                <w:lang w:val="uk-UA" w:eastAsia="uk-UA"/>
              </w:rPr>
            </w:pP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490"/>
        </w:trPr>
        <w:tc>
          <w:tcPr>
            <w:tcW w:w="9654" w:type="dxa"/>
            <w:gridSpan w:val="4"/>
            <w:shd w:val="clear" w:color="auto" w:fill="auto"/>
            <w:vAlign w:val="center"/>
            <w:hideMark/>
          </w:tcPr>
          <w:p w:rsidR="004D77FC" w:rsidRPr="003A05FD" w:rsidRDefault="004D77FC" w:rsidP="009D772B">
            <w:pPr>
              <w:spacing w:after="0" w:line="240" w:lineRule="auto"/>
              <w:jc w:val="center"/>
              <w:rPr>
                <w:rFonts w:ascii="Times New Roman" w:eastAsia="Times New Roman" w:hAnsi="Times New Roman" w:cs="Times New Roman"/>
                <w:b/>
                <w:color w:val="000000"/>
                <w:sz w:val="20"/>
                <w:szCs w:val="20"/>
                <w:lang w:val="uk-UA" w:eastAsia="uk-UA"/>
              </w:rPr>
            </w:pPr>
            <w:r w:rsidRPr="003A05FD">
              <w:rPr>
                <w:rFonts w:ascii="Times New Roman" w:eastAsia="Times New Roman" w:hAnsi="Times New Roman" w:cs="Times New Roman"/>
                <w:b/>
                <w:color w:val="000000"/>
                <w:sz w:val="20"/>
                <w:szCs w:val="20"/>
                <w:lang w:val="uk-UA" w:eastAsia="uk-UA"/>
              </w:rPr>
              <w:t xml:space="preserve">Заходи із </w:t>
            </w:r>
            <w:r>
              <w:rPr>
                <w:rFonts w:ascii="Times New Roman" w:eastAsia="Times New Roman" w:hAnsi="Times New Roman" w:cs="Times New Roman"/>
                <w:b/>
                <w:color w:val="000000"/>
                <w:sz w:val="20"/>
                <w:szCs w:val="20"/>
                <w:lang w:val="uk-UA" w:eastAsia="uk-UA"/>
              </w:rPr>
              <w:t>зменшення впливу факторів ризику неінфекційних захворювань на здоров’я населення</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1120"/>
        </w:trPr>
        <w:tc>
          <w:tcPr>
            <w:tcW w:w="1529" w:type="dxa"/>
            <w:shd w:val="clear" w:color="auto" w:fill="auto"/>
            <w:hideMark/>
          </w:tcPr>
          <w:p w:rsidR="004D77FC" w:rsidRPr="00510F97" w:rsidRDefault="004D77FC" w:rsidP="009D772B">
            <w:pPr>
              <w:spacing w:after="0" w:line="240" w:lineRule="auto"/>
              <w:ind w:left="157" w:right="142" w:hanging="157"/>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3. Зниження рівня споживання тютюнових виробів та паління</w:t>
            </w:r>
          </w:p>
        </w:tc>
        <w:tc>
          <w:tcPr>
            <w:tcW w:w="5088" w:type="dxa"/>
            <w:shd w:val="clear" w:color="auto" w:fill="auto"/>
            <w:tcMar>
              <w:top w:w="15" w:type="dxa"/>
              <w:left w:w="15" w:type="dxa"/>
              <w:bottom w:w="15" w:type="dxa"/>
              <w:right w:w="15" w:type="dxa"/>
            </w:tcMar>
            <w:hideMark/>
          </w:tcPr>
          <w:p w:rsidR="004D77FC" w:rsidRPr="00D267A1" w:rsidRDefault="004D77FC" w:rsidP="009D772B">
            <w:pPr>
              <w:pStyle w:val="a3"/>
              <w:spacing w:after="0"/>
              <w:ind w:left="127" w:right="126" w:hanging="127"/>
              <w:jc w:val="both"/>
              <w:rPr>
                <w:color w:val="000000"/>
                <w:sz w:val="20"/>
                <w:szCs w:val="20"/>
              </w:rPr>
            </w:pPr>
            <w:r>
              <w:rPr>
                <w:rFonts w:ascii="'sans-serif'" w:hAnsi="'sans-serif'"/>
                <w:color w:val="000000"/>
                <w:sz w:val="20"/>
                <w:szCs w:val="20"/>
                <w:lang w:val="uk-UA"/>
              </w:rPr>
              <w:t xml:space="preserve">1) </w:t>
            </w:r>
            <w:r>
              <w:rPr>
                <w:rFonts w:ascii="'sans-serif'" w:hAnsi="'sans-serif'"/>
                <w:color w:val="000000"/>
                <w:sz w:val="20"/>
                <w:szCs w:val="20"/>
              </w:rPr>
              <w:t>посилення контролю за виконанням вимог законодавства щодо повної заборони паління в громадських місцях</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910"/>
        </w:trPr>
        <w:tc>
          <w:tcPr>
            <w:tcW w:w="1529" w:type="dxa"/>
            <w:tcBorders>
              <w:top w:val="nil"/>
            </w:tcBorders>
            <w:shd w:val="clear" w:color="auto" w:fill="auto"/>
            <w:hideMark/>
          </w:tcPr>
          <w:p w:rsidR="004D77FC" w:rsidRPr="00510F97"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D267A1" w:rsidRDefault="004D77FC" w:rsidP="009D772B">
            <w:pPr>
              <w:pStyle w:val="a3"/>
              <w:spacing w:after="0"/>
              <w:ind w:left="127" w:right="126" w:hanging="127"/>
              <w:jc w:val="both"/>
              <w:rPr>
                <w:color w:val="000000"/>
                <w:sz w:val="20"/>
                <w:szCs w:val="20"/>
              </w:rPr>
            </w:pPr>
            <w:r>
              <w:rPr>
                <w:color w:val="000000"/>
                <w:sz w:val="20"/>
                <w:szCs w:val="20"/>
                <w:lang w:val="uk-UA"/>
              </w:rPr>
              <w:t xml:space="preserve">2) </w:t>
            </w:r>
            <w:r>
              <w:rPr>
                <w:rFonts w:ascii="'sans-serif'" w:hAnsi="'sans-serif'"/>
                <w:color w:val="000000"/>
                <w:sz w:val="20"/>
                <w:szCs w:val="20"/>
              </w:rPr>
              <w:t>посилення контролю за виконанням вимог законодавства щодо повної заборони паління в закладах охорони здоров’я, освіти та прилеглих до них територіях</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668"/>
        </w:trPr>
        <w:tc>
          <w:tcPr>
            <w:tcW w:w="1529" w:type="dxa"/>
            <w:tcBorders>
              <w:top w:val="nil"/>
            </w:tcBorders>
            <w:shd w:val="clear" w:color="auto" w:fill="auto"/>
            <w:hideMark/>
          </w:tcPr>
          <w:p w:rsidR="004D77FC" w:rsidRPr="00510F97"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D267A1" w:rsidRDefault="004D77FC" w:rsidP="009D772B">
            <w:pPr>
              <w:pStyle w:val="a3"/>
              <w:spacing w:after="0"/>
              <w:ind w:left="127" w:right="126" w:hanging="127"/>
              <w:jc w:val="both"/>
              <w:rPr>
                <w:color w:val="000000"/>
                <w:sz w:val="20"/>
                <w:szCs w:val="20"/>
              </w:rPr>
            </w:pPr>
            <w:r>
              <w:rPr>
                <w:color w:val="000000"/>
                <w:sz w:val="20"/>
                <w:szCs w:val="20"/>
                <w:lang w:val="uk-UA"/>
              </w:rPr>
              <w:t xml:space="preserve">3) </w:t>
            </w:r>
            <w:r>
              <w:rPr>
                <w:rFonts w:ascii="'sans-serif'" w:hAnsi="'sans-serif'"/>
                <w:color w:val="000000"/>
                <w:sz w:val="20"/>
                <w:szCs w:val="20"/>
              </w:rPr>
              <w:t>забезпечення створення “гарячої” телефонної лінії стосовно надання допомоги щодо припинення тютюнопаління</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Default="004D77FC" w:rsidP="009D772B">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2019 – 2020 роки</w:t>
            </w:r>
          </w:p>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651"/>
        </w:trPr>
        <w:tc>
          <w:tcPr>
            <w:tcW w:w="1529" w:type="dxa"/>
            <w:shd w:val="clear" w:color="auto" w:fill="auto"/>
            <w:hideMark/>
          </w:tcPr>
          <w:p w:rsidR="004D77FC" w:rsidRPr="00510F97"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4. Профілактика зловживання алкоголем</w:t>
            </w:r>
          </w:p>
        </w:tc>
        <w:tc>
          <w:tcPr>
            <w:tcW w:w="5088" w:type="dxa"/>
            <w:shd w:val="clear" w:color="auto" w:fill="auto"/>
            <w:tcMar>
              <w:top w:w="15" w:type="dxa"/>
              <w:left w:w="15" w:type="dxa"/>
              <w:bottom w:w="15" w:type="dxa"/>
              <w:right w:w="15" w:type="dxa"/>
            </w:tcMar>
            <w:hideMark/>
          </w:tcPr>
          <w:p w:rsidR="004D77FC" w:rsidRPr="008F2AB7" w:rsidRDefault="004D77FC" w:rsidP="009D772B">
            <w:pPr>
              <w:pStyle w:val="a3"/>
              <w:spacing w:after="0"/>
              <w:ind w:left="127" w:right="126" w:hanging="127"/>
              <w:jc w:val="both"/>
              <w:rPr>
                <w:color w:val="000000"/>
                <w:sz w:val="20"/>
                <w:szCs w:val="20"/>
              </w:rPr>
            </w:pPr>
            <w:r>
              <w:rPr>
                <w:color w:val="000000"/>
                <w:sz w:val="20"/>
                <w:szCs w:val="20"/>
                <w:lang w:val="uk-UA"/>
              </w:rPr>
              <w:t xml:space="preserve">1) </w:t>
            </w:r>
            <w:r>
              <w:rPr>
                <w:rFonts w:ascii="'sans-serif'" w:hAnsi="'sans-serif'"/>
                <w:color w:val="000000"/>
                <w:sz w:val="20"/>
                <w:szCs w:val="20"/>
              </w:rPr>
              <w:t>забезпечення дотримання законодавства щодо обмеження роздрібної торгівлі алкогольними напоями</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902"/>
        </w:trPr>
        <w:tc>
          <w:tcPr>
            <w:tcW w:w="1529" w:type="dxa"/>
            <w:tcBorders>
              <w:top w:val="nil"/>
            </w:tcBorders>
            <w:shd w:val="clear" w:color="auto" w:fill="auto"/>
            <w:hideMark/>
          </w:tcPr>
          <w:p w:rsidR="004D77FC" w:rsidRPr="00510F97"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8F2AB7" w:rsidRDefault="004D77FC" w:rsidP="009D772B">
            <w:pPr>
              <w:pStyle w:val="a3"/>
              <w:spacing w:after="0"/>
              <w:ind w:left="127" w:right="126" w:hanging="127"/>
              <w:jc w:val="both"/>
              <w:rPr>
                <w:color w:val="000000"/>
                <w:sz w:val="20"/>
                <w:szCs w:val="20"/>
              </w:rPr>
            </w:pPr>
            <w:r>
              <w:rPr>
                <w:color w:val="000000"/>
                <w:sz w:val="20"/>
                <w:szCs w:val="20"/>
                <w:lang w:val="uk-UA"/>
              </w:rPr>
              <w:t xml:space="preserve">2) </w:t>
            </w:r>
            <w:r>
              <w:rPr>
                <w:rFonts w:ascii="'sans-serif'" w:hAnsi="'sans-serif'"/>
                <w:color w:val="000000"/>
                <w:sz w:val="20"/>
                <w:szCs w:val="20"/>
              </w:rPr>
              <w:t>забезпечення постійного ефективного контролю за забороною продажу алкогольних напоїв особам, які не досягли 18 років, з метою обмеження доступу до алкоголю та ліквідації незаконної торгівлі алкоголем</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902"/>
        </w:trPr>
        <w:tc>
          <w:tcPr>
            <w:tcW w:w="1529" w:type="dxa"/>
            <w:shd w:val="clear" w:color="auto" w:fill="auto"/>
            <w:hideMark/>
          </w:tcPr>
          <w:p w:rsidR="004D77FC" w:rsidRPr="00510F97"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5. Підтримка та пропагування здорового харчування</w:t>
            </w: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rFonts w:ascii="Verdana" w:hAnsi="Verdana"/>
                <w:color w:val="000000"/>
                <w:sz w:val="16"/>
                <w:szCs w:val="16"/>
              </w:rPr>
            </w:pPr>
            <w:r>
              <w:rPr>
                <w:color w:val="000000"/>
                <w:sz w:val="20"/>
                <w:szCs w:val="20"/>
                <w:lang w:val="uk-UA"/>
              </w:rPr>
              <w:t xml:space="preserve">1) </w:t>
            </w:r>
            <w:r>
              <w:rPr>
                <w:rFonts w:ascii="'sans-serif'" w:hAnsi="'sans-serif'"/>
                <w:color w:val="000000"/>
                <w:sz w:val="20"/>
                <w:szCs w:val="20"/>
              </w:rPr>
              <w:t>надання підтримки програмам, спрямованим на забезпечення здорового харчування, в закладах освіти</w:t>
            </w:r>
          </w:p>
          <w:p w:rsidR="004D77FC" w:rsidRPr="008F2AB7" w:rsidRDefault="004D77FC" w:rsidP="009D772B">
            <w:pPr>
              <w:pStyle w:val="a3"/>
              <w:spacing w:after="0"/>
              <w:ind w:left="127" w:right="126" w:hanging="127"/>
              <w:jc w:val="both"/>
              <w:rPr>
                <w:color w:val="000000"/>
                <w:sz w:val="20"/>
                <w:szCs w:val="20"/>
              </w:rPr>
            </w:pP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902"/>
        </w:trPr>
        <w:tc>
          <w:tcPr>
            <w:tcW w:w="1529" w:type="dxa"/>
            <w:tcBorders>
              <w:top w:val="nil"/>
            </w:tcBorders>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8F2AB7" w:rsidRDefault="004D77FC" w:rsidP="009D772B">
            <w:pPr>
              <w:pStyle w:val="a3"/>
              <w:spacing w:after="0"/>
              <w:ind w:left="127" w:right="126" w:hanging="127"/>
              <w:jc w:val="both"/>
              <w:rPr>
                <w:color w:val="000000"/>
                <w:sz w:val="20"/>
                <w:szCs w:val="20"/>
              </w:rPr>
            </w:pPr>
            <w:r>
              <w:rPr>
                <w:color w:val="000000"/>
                <w:sz w:val="20"/>
                <w:szCs w:val="20"/>
                <w:lang w:val="uk-UA"/>
              </w:rPr>
              <w:t xml:space="preserve">2) </w:t>
            </w:r>
            <w:r>
              <w:rPr>
                <w:rFonts w:ascii="'sans-serif'" w:hAnsi="'sans-serif'"/>
                <w:color w:val="000000"/>
                <w:sz w:val="20"/>
                <w:szCs w:val="20"/>
              </w:rPr>
              <w:t>унеможливлення доступності і продажу висококалорійних харчових продуктів та напоїв з підвищеним вмістом насичених жирів, солі та цукру в закладах освіти, на прилеглих до них територіях</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902"/>
        </w:trPr>
        <w:tc>
          <w:tcPr>
            <w:tcW w:w="1529" w:type="dxa"/>
            <w:tcBorders>
              <w:top w:val="nil"/>
            </w:tcBorders>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6. Профілактика недостатньої фізичної активності </w:t>
            </w: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1) </w:t>
            </w:r>
            <w:r w:rsidRPr="00196DFC">
              <w:rPr>
                <w:rFonts w:ascii="'sans-serif'" w:hAnsi="'sans-serif'"/>
                <w:color w:val="000000"/>
                <w:sz w:val="20"/>
                <w:szCs w:val="20"/>
                <w:lang w:val="uk-UA"/>
              </w:rPr>
              <w:t>забезпечення обов’язкового включення до містобудівної документації відповідного рівня влаштування територій, призначених виключно для фізичної активності громадян (спортивні, фізкультурно-оздоровчі майданчики, в тому числі басейни); обладнання велосипедних і бігових доріжок на існуючих і нових транспортних шляхах, а також у парках та скверах</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613"/>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196DFC" w:rsidRDefault="004D77FC" w:rsidP="009D772B">
            <w:pPr>
              <w:pStyle w:val="a3"/>
              <w:spacing w:after="0"/>
              <w:ind w:left="127" w:right="126" w:hanging="127"/>
              <w:jc w:val="both"/>
              <w:rPr>
                <w:color w:val="000000"/>
                <w:sz w:val="20"/>
                <w:szCs w:val="20"/>
              </w:rPr>
            </w:pPr>
            <w:r>
              <w:rPr>
                <w:color w:val="000000"/>
                <w:sz w:val="20"/>
                <w:szCs w:val="20"/>
                <w:lang w:val="uk-UA"/>
              </w:rPr>
              <w:t xml:space="preserve">2) </w:t>
            </w:r>
            <w:r>
              <w:rPr>
                <w:rFonts w:ascii="'sans-serif'" w:hAnsi="'sans-serif'"/>
                <w:color w:val="000000"/>
                <w:sz w:val="20"/>
                <w:szCs w:val="20"/>
              </w:rPr>
              <w:t>забезпечення вільного доступу громадян до публічних об’єктів, призначених для занять фізичною культурою та спортом</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902"/>
        </w:trPr>
        <w:tc>
          <w:tcPr>
            <w:tcW w:w="1529" w:type="dxa"/>
            <w:tcBorders>
              <w:top w:val="nil"/>
            </w:tcBorders>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7.  Використання природних факторів при складанні містобудівної документації</w:t>
            </w:r>
          </w:p>
        </w:tc>
        <w:tc>
          <w:tcPr>
            <w:tcW w:w="5088" w:type="dxa"/>
            <w:shd w:val="clear" w:color="auto" w:fill="auto"/>
            <w:tcMar>
              <w:top w:w="15" w:type="dxa"/>
              <w:left w:w="15" w:type="dxa"/>
              <w:bottom w:w="15" w:type="dxa"/>
              <w:right w:w="15" w:type="dxa"/>
            </w:tcMar>
            <w:hideMark/>
          </w:tcPr>
          <w:p w:rsidR="004D77FC" w:rsidRPr="00196DFC" w:rsidRDefault="004D77FC" w:rsidP="009D772B">
            <w:pPr>
              <w:pStyle w:val="a3"/>
              <w:spacing w:after="0"/>
              <w:ind w:left="127" w:right="126" w:hanging="127"/>
              <w:jc w:val="both"/>
              <w:rPr>
                <w:color w:val="000000"/>
                <w:sz w:val="20"/>
                <w:szCs w:val="20"/>
              </w:rPr>
            </w:pPr>
            <w:r>
              <w:rPr>
                <w:color w:val="000000"/>
                <w:sz w:val="20"/>
                <w:szCs w:val="20"/>
                <w:lang w:val="uk-UA"/>
              </w:rPr>
              <w:t xml:space="preserve">1) </w:t>
            </w:r>
            <w:r>
              <w:rPr>
                <w:rFonts w:ascii="'sans-serif'" w:hAnsi="'sans-serif'"/>
                <w:color w:val="000000"/>
                <w:sz w:val="20"/>
                <w:szCs w:val="20"/>
              </w:rPr>
              <w:t>забезпечення обов’язкового включення до містобудівної документації відповідного рівня функціональних зон, призначених виключно для рекреаційного використання (засмаги, купання, ігор на відкритому повітрі)</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902"/>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8. Профілактика несприятливого впливу факторів навколишнього природного середовища на здоров’я населення</w:t>
            </w:r>
          </w:p>
        </w:tc>
        <w:tc>
          <w:tcPr>
            <w:tcW w:w="5088" w:type="dxa"/>
            <w:shd w:val="clear" w:color="auto" w:fill="auto"/>
            <w:tcMar>
              <w:top w:w="15" w:type="dxa"/>
              <w:left w:w="15" w:type="dxa"/>
              <w:bottom w:w="15" w:type="dxa"/>
              <w:right w:w="15" w:type="dxa"/>
            </w:tcMar>
            <w:hideMark/>
          </w:tcPr>
          <w:p w:rsidR="004D77FC" w:rsidRPr="003C5E4C" w:rsidRDefault="004D77FC" w:rsidP="009D772B">
            <w:pPr>
              <w:pStyle w:val="a3"/>
              <w:spacing w:after="0"/>
              <w:ind w:left="127" w:right="126" w:hanging="127"/>
              <w:jc w:val="both"/>
              <w:rPr>
                <w:color w:val="000000"/>
                <w:sz w:val="20"/>
                <w:szCs w:val="20"/>
              </w:rPr>
            </w:pPr>
            <w:r>
              <w:rPr>
                <w:color w:val="000000"/>
                <w:sz w:val="20"/>
                <w:szCs w:val="20"/>
                <w:lang w:val="uk-UA"/>
              </w:rPr>
              <w:t xml:space="preserve">1) </w:t>
            </w:r>
            <w:r>
              <w:rPr>
                <w:rFonts w:ascii="'sans-serif'" w:hAnsi="'sans-serif'"/>
                <w:color w:val="000000"/>
                <w:sz w:val="20"/>
                <w:szCs w:val="20"/>
              </w:rPr>
              <w:t> сприяння дослідженню негативного впливу зміни клімату на здоров’я населення</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2019 - 2020 роки</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443"/>
        </w:trPr>
        <w:tc>
          <w:tcPr>
            <w:tcW w:w="9654" w:type="dxa"/>
            <w:gridSpan w:val="4"/>
            <w:shd w:val="clear" w:color="auto" w:fill="auto"/>
            <w:vAlign w:val="center"/>
            <w:hideMark/>
          </w:tcPr>
          <w:p w:rsidR="004D77FC" w:rsidRPr="003C5E4C" w:rsidRDefault="004D77FC" w:rsidP="009D772B">
            <w:pPr>
              <w:spacing w:after="0" w:line="240" w:lineRule="auto"/>
              <w:jc w:val="center"/>
              <w:rPr>
                <w:rFonts w:ascii="'sans-serif'" w:eastAsia="Times New Roman" w:hAnsi="'sans-serif'" w:cs="Times New Roman"/>
                <w:b/>
                <w:color w:val="000000"/>
                <w:sz w:val="20"/>
                <w:szCs w:val="20"/>
                <w:lang w:val="uk-UA" w:eastAsia="uk-UA"/>
              </w:rPr>
            </w:pPr>
            <w:r>
              <w:rPr>
                <w:rFonts w:ascii="'sans-serif'" w:eastAsia="Times New Roman" w:hAnsi="'sans-serif'" w:cs="Times New Roman" w:hint="eastAsia"/>
                <w:b/>
                <w:color w:val="000000"/>
                <w:sz w:val="20"/>
                <w:szCs w:val="20"/>
                <w:lang w:val="uk-UA" w:eastAsia="uk-UA"/>
              </w:rPr>
              <w:t>О</w:t>
            </w:r>
            <w:r>
              <w:rPr>
                <w:rFonts w:ascii="'sans-serif'" w:eastAsia="Times New Roman" w:hAnsi="'sans-serif'" w:cs="Times New Roman"/>
                <w:b/>
                <w:color w:val="000000"/>
                <w:sz w:val="20"/>
                <w:szCs w:val="20"/>
                <w:lang w:val="uk-UA" w:eastAsia="uk-UA"/>
              </w:rPr>
              <w:t>рганізація надання медичної допомоги</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902"/>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9.  Оптимізація управління та забезпечення надання медичної допомоги</w:t>
            </w:r>
          </w:p>
        </w:tc>
        <w:tc>
          <w:tcPr>
            <w:tcW w:w="5088" w:type="dxa"/>
            <w:shd w:val="clear" w:color="auto" w:fill="auto"/>
            <w:tcMar>
              <w:top w:w="15" w:type="dxa"/>
              <w:left w:w="15" w:type="dxa"/>
              <w:bottom w:w="15" w:type="dxa"/>
              <w:right w:w="15" w:type="dxa"/>
            </w:tcMar>
            <w:hideMark/>
          </w:tcPr>
          <w:p w:rsidR="004D77FC" w:rsidRPr="0062050E" w:rsidRDefault="004D77FC" w:rsidP="009D772B">
            <w:pPr>
              <w:pStyle w:val="a3"/>
              <w:spacing w:after="0"/>
              <w:ind w:left="127" w:right="126" w:hanging="127"/>
              <w:jc w:val="both"/>
              <w:rPr>
                <w:color w:val="000000"/>
                <w:sz w:val="20"/>
                <w:szCs w:val="20"/>
              </w:rPr>
            </w:pPr>
            <w:r>
              <w:rPr>
                <w:color w:val="000000"/>
                <w:sz w:val="20"/>
                <w:szCs w:val="20"/>
                <w:lang w:val="uk-UA"/>
              </w:rPr>
              <w:t xml:space="preserve">1) </w:t>
            </w:r>
            <w:r>
              <w:rPr>
                <w:rFonts w:ascii="'sans-serif'" w:hAnsi="'sans-serif'"/>
                <w:color w:val="000000"/>
                <w:sz w:val="20"/>
                <w:szCs w:val="20"/>
              </w:rPr>
              <w:t>упровадження принципу солідарності в покритті витрат на медичну допомогу, забезпечення рівного доступу та якості надання медичної допомоги для міського та сільського населення незалежно від місця проживання та соціального статусу</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902"/>
        </w:trPr>
        <w:tc>
          <w:tcPr>
            <w:tcW w:w="1529" w:type="dxa"/>
            <w:tcBorders>
              <w:top w:val="nil"/>
            </w:tcBorders>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62050E" w:rsidRDefault="004D77FC" w:rsidP="009D772B">
            <w:pPr>
              <w:pStyle w:val="a3"/>
              <w:spacing w:after="0"/>
              <w:ind w:left="127" w:right="126" w:hanging="127"/>
              <w:jc w:val="both"/>
              <w:rPr>
                <w:color w:val="000000"/>
                <w:sz w:val="20"/>
                <w:szCs w:val="20"/>
              </w:rPr>
            </w:pPr>
            <w:r>
              <w:rPr>
                <w:color w:val="000000"/>
                <w:sz w:val="20"/>
                <w:szCs w:val="20"/>
                <w:lang w:val="uk-UA"/>
              </w:rPr>
              <w:t xml:space="preserve">2) </w:t>
            </w:r>
            <w:r>
              <w:rPr>
                <w:rFonts w:ascii="'sans-serif'" w:hAnsi="'sans-serif'"/>
                <w:color w:val="000000"/>
                <w:sz w:val="20"/>
                <w:szCs w:val="20"/>
              </w:rPr>
              <w:t> проведення оцінки доступності та якості надання медичної допомоги; забезпечення проведення постійної оцінки рівня сімейних витрат домашніх господарств на медичну допомогу</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902"/>
        </w:trPr>
        <w:tc>
          <w:tcPr>
            <w:tcW w:w="1529" w:type="dxa"/>
            <w:tcBorders>
              <w:top w:val="nil"/>
            </w:tcBorders>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3) </w:t>
            </w:r>
            <w:r w:rsidRPr="0062050E">
              <w:rPr>
                <w:rFonts w:ascii="'sans-serif'" w:hAnsi="'sans-serif'"/>
                <w:color w:val="000000"/>
                <w:sz w:val="20"/>
                <w:szCs w:val="20"/>
                <w:lang w:val="uk-UA"/>
              </w:rPr>
              <w:t>створення умов для покращення кадрового забезпечення, підвищення кваліфікаційного рівня медичних працівників; вдосконалення знань і навичок, у тому числі на рівні первинної медичної допомоги</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62050E" w:rsidRDefault="004D77FC" w:rsidP="009D772B">
            <w:pPr>
              <w:pStyle w:val="a3"/>
              <w:spacing w:after="0"/>
              <w:ind w:left="127" w:right="126" w:hanging="127"/>
              <w:jc w:val="both"/>
              <w:rPr>
                <w:color w:val="000000"/>
                <w:sz w:val="20"/>
                <w:szCs w:val="20"/>
              </w:rPr>
            </w:pPr>
            <w:r>
              <w:rPr>
                <w:color w:val="000000"/>
                <w:sz w:val="20"/>
                <w:szCs w:val="20"/>
                <w:lang w:val="uk-UA"/>
              </w:rPr>
              <w:t xml:space="preserve">4) </w:t>
            </w:r>
            <w:r>
              <w:rPr>
                <w:rFonts w:ascii="'sans-serif'" w:hAnsi="'sans-serif'"/>
                <w:color w:val="000000"/>
                <w:sz w:val="20"/>
                <w:szCs w:val="20"/>
              </w:rPr>
              <w:t>впровадження практики проведення оцінки індивідуального ризику розвитку неінфекційних захворювань на рівні первинної медичної допомоги</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2019 - 2020 роки</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5) </w:t>
            </w:r>
            <w:r w:rsidRPr="0062050E">
              <w:rPr>
                <w:rFonts w:ascii="'sans-serif'" w:hAnsi="'sans-serif'"/>
                <w:color w:val="000000"/>
                <w:sz w:val="20"/>
                <w:szCs w:val="20"/>
                <w:lang w:val="uk-UA"/>
              </w:rPr>
              <w:t xml:space="preserve">покращення якості надання медичної допомоги пацієнтам з неінфекційними захворюваннями шляхом впровадження на рівні первинної, вторинної (спеціалізованої) </w:t>
            </w:r>
            <w:r>
              <w:rPr>
                <w:rFonts w:ascii="'sans-serif'" w:hAnsi="'sans-serif'"/>
                <w:color w:val="000000"/>
                <w:sz w:val="20"/>
                <w:szCs w:val="20"/>
              </w:rPr>
              <w:t> </w:t>
            </w:r>
            <w:r w:rsidRPr="0062050E">
              <w:rPr>
                <w:rFonts w:ascii="'sans-serif'" w:hAnsi="'sans-serif'"/>
                <w:color w:val="000000"/>
                <w:sz w:val="20"/>
                <w:szCs w:val="20"/>
                <w:lang w:val="uk-UA"/>
              </w:rPr>
              <w:t>медичної допомоги клінічних настанов та клінічних протоколів надання медичної допомоги, які повністю відповідають принципам доказової медицини</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62050E" w:rsidRDefault="004D77FC" w:rsidP="009D772B">
            <w:pPr>
              <w:pStyle w:val="a3"/>
              <w:spacing w:after="0"/>
              <w:ind w:left="127" w:right="126" w:hanging="127"/>
              <w:jc w:val="both"/>
              <w:rPr>
                <w:color w:val="000000"/>
                <w:sz w:val="20"/>
                <w:szCs w:val="20"/>
              </w:rPr>
            </w:pPr>
            <w:r>
              <w:rPr>
                <w:color w:val="000000"/>
                <w:sz w:val="20"/>
                <w:szCs w:val="20"/>
                <w:lang w:val="uk-UA"/>
              </w:rPr>
              <w:t xml:space="preserve">6) </w:t>
            </w:r>
            <w:r>
              <w:rPr>
                <w:rFonts w:ascii="'sans-serif'" w:hAnsi="'sans-serif'"/>
                <w:color w:val="000000"/>
                <w:sz w:val="20"/>
                <w:szCs w:val="20"/>
              </w:rPr>
              <w:t>впровадження системи обліку та аналізу випадків неналежного надання медичної допомоги для попередження медичних помилок на окремих етапах лікувально-діагностичних процесів</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10. Профілактика, раннє виявлення та лікування хвороб системи кровообігу</w:t>
            </w: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1) </w:t>
            </w:r>
            <w:r w:rsidRPr="009D35FD">
              <w:rPr>
                <w:rFonts w:ascii="'sans-serif'" w:hAnsi="'sans-serif'"/>
                <w:color w:val="000000"/>
                <w:sz w:val="20"/>
                <w:szCs w:val="20"/>
                <w:lang w:val="uk-UA"/>
              </w:rPr>
              <w:t>забезпечення виявлення факторів ризику хвороб системи кровообігу на рівні первинної медичної допомоги, а також виявлення та проведення оцінки індивідуального ризику розвитку таких захворювань</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9D35FD" w:rsidRDefault="004D77FC" w:rsidP="009D772B">
            <w:pPr>
              <w:pStyle w:val="a3"/>
              <w:spacing w:after="0"/>
              <w:ind w:left="127" w:right="126" w:hanging="127"/>
              <w:jc w:val="both"/>
              <w:rPr>
                <w:color w:val="000000"/>
                <w:sz w:val="20"/>
                <w:szCs w:val="20"/>
              </w:rPr>
            </w:pPr>
            <w:r>
              <w:rPr>
                <w:color w:val="000000"/>
                <w:sz w:val="20"/>
                <w:szCs w:val="20"/>
                <w:lang w:val="uk-UA"/>
              </w:rPr>
              <w:t xml:space="preserve">2) </w:t>
            </w:r>
            <w:r>
              <w:rPr>
                <w:rFonts w:ascii="'sans-serif'" w:hAnsi="'sans-serif'"/>
                <w:color w:val="000000"/>
                <w:sz w:val="20"/>
                <w:szCs w:val="20"/>
              </w:rPr>
              <w:t>забезпечення проведення моніторингу наявності та динаміки факторів ризику серцево-судинних захворювань на всіх рівнях надання медичної допомоги</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3) </w:t>
            </w:r>
            <w:r w:rsidRPr="009D35FD">
              <w:rPr>
                <w:rFonts w:ascii="'sans-serif'" w:hAnsi="'sans-serif'"/>
                <w:color w:val="000000"/>
                <w:sz w:val="20"/>
                <w:szCs w:val="20"/>
                <w:lang w:val="uk-UA"/>
              </w:rPr>
              <w:t>забезпечення впровадження медичних стандартів щодо виявлення, моніторингу лікування та динаміки перебігу хвороб системи кровообігу і їх факторів ризику відповідно до затверджених нормативно-правових актів</w:t>
            </w:r>
            <w:r>
              <w:rPr>
                <w:rFonts w:ascii="'sans-serif'" w:hAnsi="'sans-serif'"/>
                <w:color w:val="000000"/>
                <w:sz w:val="20"/>
                <w:szCs w:val="20"/>
              </w:rPr>
              <w:t> </w:t>
            </w:r>
            <w:r w:rsidRPr="009D35FD">
              <w:rPr>
                <w:rFonts w:ascii="'sans-serif'" w:hAnsi="'sans-serif'"/>
                <w:color w:val="000000"/>
                <w:sz w:val="20"/>
                <w:szCs w:val="20"/>
                <w:lang w:val="uk-UA"/>
              </w:rPr>
              <w:t xml:space="preserve"> </w:t>
            </w:r>
            <w:r w:rsidRPr="009D35FD">
              <w:rPr>
                <w:rFonts w:ascii="'sans-serif'" w:hAnsi="'sans-serif'"/>
                <w:color w:val="000000"/>
                <w:sz w:val="20"/>
                <w:szCs w:val="20"/>
                <w:lang w:val="uk-UA"/>
              </w:rPr>
              <w:lastRenderedPageBreak/>
              <w:t>Міністерства охорони здоров’я України та засад доказової медицини; проведення на рівні первинної медичної допомоги необхідних клінічних обстежень (збір сімейного анамнезу щодо хвороб системи кровообігу, наявність факторів ризику (паління, зловживання алкоголем, нездорове харчування, низька фізична активність, вплив несприятливих факторів навколишнього природного середовища тощо), вимірювання артеріального тиску, лабораторне обстеження (визначення рівня холестерину) для виявлення та проведення оцінки індивідуального ризику розвитку хвороб системи кровообігу за європейською шкалою для розрахунку ризику смерті</w:t>
            </w:r>
            <w:r>
              <w:rPr>
                <w:rFonts w:ascii="'sans-serif'" w:hAnsi="'sans-serif'"/>
                <w:color w:val="000000"/>
                <w:sz w:val="20"/>
                <w:szCs w:val="20"/>
              </w:rPr>
              <w:t>   </w:t>
            </w:r>
            <w:r w:rsidRPr="009D35FD">
              <w:rPr>
                <w:rFonts w:ascii="'sans-serif'" w:hAnsi="'sans-serif'"/>
                <w:color w:val="000000"/>
                <w:sz w:val="20"/>
                <w:szCs w:val="20"/>
                <w:lang w:val="uk-UA"/>
              </w:rPr>
              <w:t xml:space="preserve"> від серцево-судинного захворювання (</w:t>
            </w:r>
            <w:r>
              <w:rPr>
                <w:rFonts w:ascii="'sans-serif'" w:hAnsi="'sans-serif'"/>
                <w:color w:val="000000"/>
                <w:sz w:val="20"/>
                <w:szCs w:val="20"/>
              </w:rPr>
              <w:t>SCORE</w:t>
            </w:r>
            <w:r w:rsidRPr="009D35FD">
              <w:rPr>
                <w:rFonts w:ascii="'sans-serif'" w:hAnsi="'sans-serif'"/>
                <w:color w:val="000000"/>
                <w:sz w:val="20"/>
                <w:szCs w:val="20"/>
                <w:lang w:val="uk-UA"/>
              </w:rPr>
              <w:t>)</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lastRenderedPageBreak/>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4) </w:t>
            </w:r>
            <w:r w:rsidRPr="009D35FD">
              <w:rPr>
                <w:rFonts w:ascii="'sans-serif'" w:hAnsi="'sans-serif'"/>
                <w:color w:val="000000"/>
                <w:sz w:val="20"/>
                <w:szCs w:val="20"/>
                <w:lang w:val="uk-UA"/>
              </w:rPr>
              <w:t>забезпечення інформування пацієнта щодо наявності в нього факторів ризику серцево-судинних захворювань і можливості їх корекції на всіх рівнях надання медичної допомоги, а також щодо необхідності проходження регулярних медичних оглядів, частота яких визначається нормативно-правовими актами Міністерства охорони здоров’я України залежно від рівня ризику</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5) </w:t>
            </w:r>
            <w:r w:rsidRPr="009D35FD">
              <w:rPr>
                <w:rFonts w:ascii="'sans-serif'" w:hAnsi="'sans-serif'"/>
                <w:color w:val="000000"/>
                <w:sz w:val="20"/>
                <w:szCs w:val="20"/>
                <w:lang w:val="uk-UA"/>
              </w:rPr>
              <w:t>забезпечення впровадження в клінічну практику стандартів надання медичної допомоги пацієнтам, які мають фактори ризику виникнення хвороб системи кровообігу або в яких уже діагностовано такі захворювання, відповідно до клінічних протоколів надання медичної допомоги, затверджених Міністерством охорони здоров’я України</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11. Профілактика, раннє виявлення та лікування цукрового діабету</w:t>
            </w: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1) </w:t>
            </w:r>
            <w:r w:rsidRPr="00126169">
              <w:rPr>
                <w:rFonts w:ascii="'sans-serif'" w:hAnsi="'sans-serif'"/>
                <w:color w:val="000000"/>
                <w:sz w:val="20"/>
                <w:szCs w:val="20"/>
                <w:lang w:val="uk-UA"/>
              </w:rPr>
              <w:t>забезпечення інформування пацієнта щодо наявності в нього факторів ризику виникнення цукрового діабету та можливості їх корекції на всіх рівнях надання медичної допомоги, а також</w:t>
            </w:r>
            <w:r>
              <w:rPr>
                <w:rFonts w:ascii="'sans-serif'" w:hAnsi="'sans-serif'"/>
                <w:color w:val="000000"/>
                <w:sz w:val="20"/>
                <w:szCs w:val="20"/>
              </w:rPr>
              <w:t> </w:t>
            </w:r>
            <w:r w:rsidRPr="00126169">
              <w:rPr>
                <w:rFonts w:ascii="'sans-serif'" w:hAnsi="'sans-serif'"/>
                <w:color w:val="000000"/>
                <w:sz w:val="20"/>
                <w:szCs w:val="20"/>
                <w:lang w:val="uk-UA"/>
              </w:rPr>
              <w:t xml:space="preserve"> необхідності проходження медичних оглядів, частота яких визначається нормативно-правовими актами Міністерства охорони здоров’я України</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tcBorders>
              <w:top w:val="nil"/>
            </w:tcBorders>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2) </w:t>
            </w:r>
            <w:r w:rsidRPr="00126169">
              <w:rPr>
                <w:rFonts w:ascii="'sans-serif'" w:hAnsi="'sans-serif'"/>
                <w:color w:val="000000"/>
                <w:sz w:val="20"/>
                <w:szCs w:val="20"/>
                <w:lang w:val="uk-UA"/>
              </w:rPr>
              <w:t>забезпечення на рівні первинної медичної допомоги виявлення факторів ризику виникнення цукрового діабету (обтяжений сімейний анамнез, наявність надмірної маси тіла або ожиріння, метаболічного синдрому та підвищення рівня глюкози у крові); проведення корекції факторів ризику в пацієнтів відповідно до нормативно-правових актів Міністерства охорони здоров’я України</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tcBorders>
              <w:top w:val="nil"/>
            </w:tcBorders>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3) </w:t>
            </w:r>
            <w:r w:rsidRPr="00126169">
              <w:rPr>
                <w:rFonts w:ascii="'sans-serif'" w:hAnsi="'sans-serif'"/>
                <w:color w:val="000000"/>
                <w:sz w:val="20"/>
                <w:szCs w:val="20"/>
                <w:lang w:val="uk-UA"/>
              </w:rPr>
              <w:t>впровадження в клінічну практику стандартів надання медичної допомоги пацієнтам, які мають фактори ризику виникнення цукрового діабету та/або метаболічного синдрому, відповідно до клінічних протоколів надання медичної допомоги, затверджених Міністерством охорони здоров’я України</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12. Профілактика, раннє виявлення та лікування злоякісних новоутворень</w:t>
            </w: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1) </w:t>
            </w:r>
            <w:r w:rsidRPr="00126169">
              <w:rPr>
                <w:rFonts w:ascii="'sans-serif'" w:hAnsi="'sans-serif'"/>
                <w:color w:val="000000"/>
                <w:sz w:val="20"/>
                <w:szCs w:val="20"/>
                <w:lang w:val="uk-UA"/>
              </w:rPr>
              <w:t>забезпечення інформування пацієнтів щодо факторів ризику виникнення онкологічних захворювань і методик їх корекції та необхідності проведення регулярних медичних оглядів з пріоритетними скринінговими заходами щодо раку шийки матки та молочної залози в жінок, колоректального раку</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126169" w:rsidRDefault="004D77FC" w:rsidP="009D772B">
            <w:pPr>
              <w:pStyle w:val="a3"/>
              <w:spacing w:after="0"/>
              <w:ind w:left="127" w:right="126" w:hanging="127"/>
              <w:jc w:val="both"/>
              <w:rPr>
                <w:color w:val="000000"/>
                <w:sz w:val="20"/>
                <w:szCs w:val="20"/>
              </w:rPr>
            </w:pPr>
            <w:r>
              <w:rPr>
                <w:color w:val="000000"/>
                <w:sz w:val="20"/>
                <w:szCs w:val="20"/>
                <w:lang w:val="uk-UA"/>
              </w:rPr>
              <w:t xml:space="preserve">2) </w:t>
            </w:r>
            <w:r>
              <w:rPr>
                <w:rFonts w:ascii="'sans-serif'" w:hAnsi="'sans-serif'"/>
                <w:color w:val="000000"/>
                <w:sz w:val="20"/>
                <w:szCs w:val="20"/>
              </w:rPr>
              <w:t>забезпечення проходження жінками регулярних медичних оглядів з проведенням скринінгу раку шийки матки та молочної залози згідно з нормативно-правовими актами Міністерства охорони здоров’я України</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847DF7" w:rsidRDefault="004D77FC" w:rsidP="009D772B">
            <w:pPr>
              <w:pStyle w:val="a3"/>
              <w:spacing w:after="0"/>
              <w:ind w:left="127" w:right="126" w:hanging="127"/>
              <w:jc w:val="both"/>
              <w:rPr>
                <w:color w:val="000000"/>
                <w:sz w:val="20"/>
                <w:szCs w:val="20"/>
              </w:rPr>
            </w:pPr>
            <w:r>
              <w:rPr>
                <w:color w:val="000000"/>
                <w:sz w:val="20"/>
                <w:szCs w:val="20"/>
                <w:lang w:val="uk-UA"/>
              </w:rPr>
              <w:t xml:space="preserve">3) </w:t>
            </w:r>
            <w:r>
              <w:rPr>
                <w:rFonts w:ascii="'sans-serif'" w:hAnsi="'sans-serif'"/>
                <w:color w:val="000000"/>
                <w:sz w:val="20"/>
                <w:szCs w:val="20"/>
              </w:rPr>
              <w:t>забезпечення  впровадження в клінічну практику медичних стандартів щодо скринінгу колоректального раку на всіх рівнях надання медичної допомоги</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13. Профілактика, раннє виявлення та лікування хронічних форм респіраторних захворювань</w:t>
            </w: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1) </w:t>
            </w:r>
            <w:r>
              <w:rPr>
                <w:rFonts w:ascii="'sans-serif'" w:hAnsi="'sans-serif'"/>
                <w:color w:val="000000"/>
                <w:sz w:val="20"/>
                <w:szCs w:val="20"/>
              </w:rPr>
              <w:t> </w:t>
            </w:r>
            <w:r w:rsidRPr="00847DF7">
              <w:rPr>
                <w:rFonts w:ascii="'sans-serif'" w:hAnsi="'sans-serif'"/>
                <w:color w:val="000000"/>
                <w:sz w:val="20"/>
                <w:szCs w:val="20"/>
                <w:lang w:val="uk-UA"/>
              </w:rPr>
              <w:t>забезпечення підвищення рівня усвідомлення небезпеки та високої ймовірності виникнення хронічних форм респіраторних захворювань в осіб з обтяженим сімейним анамнезом та індивідуальними факторами ризику таких хвороб; підвищення рівня обізнаності та усвідомлення необхідності регулярних профілактичних обстежень</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2) </w:t>
            </w:r>
            <w:r w:rsidRPr="00847DF7">
              <w:rPr>
                <w:rFonts w:ascii="'sans-serif'" w:hAnsi="'sans-serif'"/>
                <w:color w:val="000000"/>
                <w:sz w:val="20"/>
                <w:szCs w:val="20"/>
                <w:lang w:val="uk-UA"/>
              </w:rPr>
              <w:t xml:space="preserve">проведення комплексної оцінки сімейного анамнезу, факторів ризику, скарг пацієнтів та симптомів з боку респіраторної системи, що вказують на високий ризик хронічних респіраторних захворювань; направлення таких пацієнтів на консультацю до пульмонолога </w:t>
            </w:r>
            <w:r>
              <w:rPr>
                <w:rFonts w:ascii="'sans-serif'" w:hAnsi="'sans-serif'"/>
                <w:color w:val="000000"/>
                <w:sz w:val="20"/>
                <w:szCs w:val="20"/>
              </w:rPr>
              <w:t> </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3) </w:t>
            </w:r>
            <w:r w:rsidRPr="00C31B70">
              <w:rPr>
                <w:rFonts w:ascii="'sans-serif'" w:hAnsi="'sans-serif'"/>
                <w:color w:val="000000"/>
                <w:sz w:val="20"/>
                <w:szCs w:val="20"/>
                <w:lang w:val="uk-UA"/>
              </w:rPr>
              <w:t>забезпечення впровадження в клінічну практику стандартів надання медичної допомоги пацієнтам, які мають фактори ризику виникнення хронічних респіраторних захворювань, відповідно до клінічних протоколів надання медичної допомоги, затверджених Міністерством охорони здоров’я України</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C31B70" w:rsidRDefault="004D77FC" w:rsidP="009D772B">
            <w:pPr>
              <w:pStyle w:val="a3"/>
              <w:spacing w:after="0"/>
              <w:ind w:left="127" w:right="126" w:hanging="127"/>
              <w:jc w:val="both"/>
              <w:rPr>
                <w:color w:val="000000"/>
                <w:sz w:val="20"/>
                <w:szCs w:val="20"/>
              </w:rPr>
            </w:pPr>
            <w:r>
              <w:rPr>
                <w:color w:val="000000"/>
                <w:sz w:val="20"/>
                <w:szCs w:val="20"/>
                <w:lang w:val="uk-UA"/>
              </w:rPr>
              <w:t xml:space="preserve">4) </w:t>
            </w:r>
            <w:r>
              <w:rPr>
                <w:rFonts w:ascii="'sans-serif'" w:hAnsi="'sans-serif'"/>
                <w:color w:val="000000"/>
                <w:sz w:val="20"/>
                <w:szCs w:val="20"/>
              </w:rPr>
              <w:t>забезпечення профілактики алергічних захворювань, зумовлених забрудненням повітря та іншими несприятливими факторами навколишнього природного середовища</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458"/>
        </w:trPr>
        <w:tc>
          <w:tcPr>
            <w:tcW w:w="9654" w:type="dxa"/>
            <w:gridSpan w:val="4"/>
            <w:shd w:val="clear" w:color="auto" w:fill="auto"/>
            <w:vAlign w:val="center"/>
            <w:hideMark/>
          </w:tcPr>
          <w:p w:rsidR="004D77FC" w:rsidRPr="00C31B70" w:rsidRDefault="004D77FC" w:rsidP="009D772B">
            <w:pPr>
              <w:spacing w:after="0" w:line="240" w:lineRule="auto"/>
              <w:jc w:val="center"/>
              <w:rPr>
                <w:rFonts w:ascii="'sans-serif'" w:eastAsia="Times New Roman" w:hAnsi="'sans-serif'" w:cs="Times New Roman"/>
                <w:b/>
                <w:color w:val="000000"/>
                <w:sz w:val="20"/>
                <w:szCs w:val="20"/>
                <w:lang w:val="uk-UA" w:eastAsia="uk-UA"/>
              </w:rPr>
            </w:pPr>
            <w:r>
              <w:rPr>
                <w:rFonts w:ascii="'sans-serif'" w:eastAsia="Times New Roman" w:hAnsi="'sans-serif'" w:cs="Times New Roman"/>
                <w:b/>
                <w:color w:val="000000"/>
                <w:sz w:val="20"/>
                <w:szCs w:val="20"/>
                <w:lang w:val="uk-UA" w:eastAsia="uk-UA"/>
              </w:rPr>
              <w:t>Моніторинг ефективності виконання заходів</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14. Формування та вдосконалення існуючих баз даних щодо захворювань, забезпечення інформаційного та наукового супроводження неінфекційних хвороб</w:t>
            </w: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1) </w:t>
            </w:r>
            <w:r w:rsidRPr="00FF455B">
              <w:rPr>
                <w:rFonts w:ascii="'sans-serif'" w:hAnsi="'sans-serif'"/>
                <w:color w:val="000000"/>
                <w:sz w:val="20"/>
                <w:szCs w:val="20"/>
                <w:lang w:val="uk-UA"/>
              </w:rPr>
              <w:t>оптимізація існуючих, створення нових та постійне оновлення інтегрованих комплексних баз даних (реєстрів) щодо ключових показників неінфекційних захворювань (первинна захворюваність, поширеність, смертність), поширеності факторів ризику, динамічних індикаторів ефективності виконання заходів</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FF455B" w:rsidRDefault="004D77FC" w:rsidP="009D772B">
            <w:pPr>
              <w:pStyle w:val="a3"/>
              <w:spacing w:after="0"/>
              <w:ind w:left="127" w:right="126" w:hanging="127"/>
              <w:jc w:val="both"/>
              <w:rPr>
                <w:color w:val="000000"/>
                <w:sz w:val="20"/>
                <w:szCs w:val="20"/>
              </w:rPr>
            </w:pPr>
            <w:r>
              <w:rPr>
                <w:color w:val="000000"/>
                <w:sz w:val="20"/>
                <w:szCs w:val="20"/>
                <w:lang w:val="uk-UA"/>
              </w:rPr>
              <w:t xml:space="preserve">2) </w:t>
            </w:r>
            <w:r>
              <w:rPr>
                <w:rFonts w:ascii="'sans-serif'" w:hAnsi="'sans-serif'"/>
                <w:color w:val="000000"/>
                <w:sz w:val="20"/>
                <w:szCs w:val="20"/>
              </w:rPr>
              <w:t>визначення персональної відповідальності за достовірність даних, що подаються до статистичних звітів; проведення регулярного моніторингу та здійснення контролю за якістю вхідних даних статистичної звітності</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15. Проведення моніторингу споживання алкоголю та слабоалкогольних напоїв</w:t>
            </w: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rFonts w:ascii="Verdana" w:hAnsi="Verdana"/>
                <w:color w:val="000000"/>
                <w:sz w:val="16"/>
                <w:szCs w:val="16"/>
              </w:rPr>
            </w:pPr>
            <w:r>
              <w:rPr>
                <w:color w:val="000000"/>
                <w:sz w:val="20"/>
                <w:szCs w:val="20"/>
                <w:lang w:val="uk-UA"/>
              </w:rPr>
              <w:t xml:space="preserve">1) </w:t>
            </w:r>
            <w:r>
              <w:rPr>
                <w:rFonts w:ascii="'sans-serif'" w:hAnsi="'sans-serif'"/>
                <w:color w:val="000000"/>
                <w:sz w:val="20"/>
                <w:szCs w:val="20"/>
              </w:rPr>
              <w:t>забезпечення підготовки даних про кількість померлих у стані алкогольного сп’яніння у розрізі причин смерті, зокрема в результаті дорожньо-транспортної пригоди, навмисного самоушкодження</w:t>
            </w:r>
          </w:p>
          <w:p w:rsidR="004D77FC" w:rsidRPr="00710D47" w:rsidRDefault="004D77FC" w:rsidP="009D772B">
            <w:pPr>
              <w:pStyle w:val="a3"/>
              <w:spacing w:after="0"/>
              <w:ind w:left="127" w:right="126" w:hanging="127"/>
              <w:jc w:val="both"/>
              <w:rPr>
                <w:color w:val="000000"/>
                <w:sz w:val="20"/>
                <w:szCs w:val="20"/>
              </w:rPr>
            </w:pP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16. Проведення моніторингу стану харчування населення</w:t>
            </w: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1) </w:t>
            </w:r>
            <w:r w:rsidRPr="00710D47">
              <w:rPr>
                <w:rFonts w:ascii="'sans-serif'" w:hAnsi="'sans-serif'"/>
                <w:color w:val="000000"/>
                <w:sz w:val="20"/>
                <w:szCs w:val="20"/>
                <w:lang w:val="uk-UA"/>
              </w:rPr>
              <w:t>участь у проведенні</w:t>
            </w:r>
            <w:r>
              <w:rPr>
                <w:rFonts w:ascii="'sans-serif'" w:hAnsi="'sans-serif'"/>
                <w:color w:val="000000"/>
                <w:sz w:val="20"/>
                <w:szCs w:val="20"/>
              </w:rPr>
              <w:t> </w:t>
            </w:r>
            <w:r w:rsidRPr="00710D47">
              <w:rPr>
                <w:rFonts w:ascii="'sans-serif'" w:hAnsi="'sans-serif'"/>
                <w:color w:val="000000"/>
                <w:sz w:val="20"/>
                <w:szCs w:val="20"/>
                <w:lang w:val="uk-UA"/>
              </w:rPr>
              <w:t xml:space="preserve"> </w:t>
            </w:r>
            <w:r>
              <w:rPr>
                <w:rFonts w:ascii="'sans-serif'" w:hAnsi="'sans-serif'"/>
                <w:color w:val="000000"/>
                <w:sz w:val="20"/>
                <w:szCs w:val="20"/>
              </w:rPr>
              <w:t> </w:t>
            </w:r>
            <w:r w:rsidRPr="00710D47">
              <w:rPr>
                <w:rFonts w:ascii="'sans-serif'" w:hAnsi="'sans-serif'"/>
                <w:color w:val="000000"/>
                <w:sz w:val="20"/>
                <w:szCs w:val="20"/>
                <w:lang w:val="uk-UA"/>
              </w:rPr>
              <w:t>досліджень стану фактичного харчування населення залежно від віку і статі, а також оцінки залежності якості харчування від рівня освіти, доходів, місця проживання та професії; участь у проведені поширеності дитячого ожиріння</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2022 рік та кожні шість років</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710D47" w:rsidRDefault="004D77FC" w:rsidP="009D772B">
            <w:pPr>
              <w:pStyle w:val="a3"/>
              <w:spacing w:after="0"/>
              <w:ind w:left="127" w:right="126" w:hanging="127"/>
              <w:jc w:val="both"/>
              <w:rPr>
                <w:color w:val="000000"/>
                <w:sz w:val="20"/>
                <w:szCs w:val="20"/>
              </w:rPr>
            </w:pPr>
            <w:r>
              <w:rPr>
                <w:color w:val="000000"/>
                <w:sz w:val="20"/>
                <w:szCs w:val="20"/>
                <w:lang w:val="uk-UA"/>
              </w:rPr>
              <w:t>2) з</w:t>
            </w:r>
            <w:r>
              <w:rPr>
                <w:rFonts w:ascii="'sans-serif'" w:hAnsi="'sans-serif'"/>
                <w:color w:val="000000"/>
                <w:sz w:val="20"/>
                <w:szCs w:val="20"/>
              </w:rPr>
              <w:t>абезпечення участі в Європейській мережі дій  щодо зменшення   споживання солі</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lastRenderedPageBreak/>
              <w:t>17. Проведення оцінки рівня фізичної активності населення</w:t>
            </w:r>
          </w:p>
        </w:tc>
        <w:tc>
          <w:tcPr>
            <w:tcW w:w="5088" w:type="dxa"/>
            <w:shd w:val="clear" w:color="auto" w:fill="auto"/>
            <w:tcMar>
              <w:top w:w="15" w:type="dxa"/>
              <w:left w:w="15" w:type="dxa"/>
              <w:bottom w:w="15" w:type="dxa"/>
              <w:right w:w="15" w:type="dxa"/>
            </w:tcMar>
            <w:hideMark/>
          </w:tcPr>
          <w:p w:rsidR="004D77FC" w:rsidRPr="00462D1C" w:rsidRDefault="004D77FC" w:rsidP="009D772B">
            <w:pPr>
              <w:pStyle w:val="a3"/>
              <w:spacing w:after="0"/>
              <w:ind w:left="127" w:right="126" w:hanging="127"/>
              <w:jc w:val="both"/>
              <w:rPr>
                <w:color w:val="000000"/>
                <w:sz w:val="20"/>
                <w:szCs w:val="20"/>
              </w:rPr>
            </w:pPr>
            <w:r>
              <w:rPr>
                <w:color w:val="000000"/>
                <w:sz w:val="20"/>
                <w:szCs w:val="20"/>
                <w:lang w:val="uk-UA"/>
              </w:rPr>
              <w:t xml:space="preserve">1) </w:t>
            </w:r>
            <w:r>
              <w:rPr>
                <w:rFonts w:ascii="'sans-serif'" w:hAnsi="'sans-serif'"/>
                <w:color w:val="000000"/>
                <w:sz w:val="20"/>
                <w:szCs w:val="20"/>
              </w:rPr>
              <w:t>участь у  проведенні оцінки рівня фізичної активності різних груп населення</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2) </w:t>
            </w:r>
            <w:r w:rsidRPr="00462D1C">
              <w:rPr>
                <w:rFonts w:ascii="'sans-serif'" w:hAnsi="'sans-serif'"/>
                <w:color w:val="000000"/>
                <w:sz w:val="20"/>
                <w:szCs w:val="20"/>
                <w:lang w:val="uk-UA"/>
              </w:rPr>
              <w:t>забезпечення проведення моніторингу наявності та оцінки якості об’єктів для занять фізичною культурою і спортом у міській та сільській місцевостях</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18. Проведення моніторингу безпеки дорожнього руху</w:t>
            </w:r>
          </w:p>
        </w:tc>
        <w:tc>
          <w:tcPr>
            <w:tcW w:w="5088" w:type="dxa"/>
            <w:shd w:val="clear" w:color="auto" w:fill="auto"/>
            <w:tcMar>
              <w:top w:w="15" w:type="dxa"/>
              <w:left w:w="15" w:type="dxa"/>
              <w:bottom w:w="15" w:type="dxa"/>
              <w:right w:w="15" w:type="dxa"/>
            </w:tcMar>
            <w:hideMark/>
          </w:tcPr>
          <w:p w:rsidR="004D77FC" w:rsidRPr="007A19B7" w:rsidRDefault="004D77FC" w:rsidP="009D772B">
            <w:pPr>
              <w:pStyle w:val="a3"/>
              <w:spacing w:after="0"/>
              <w:ind w:left="127" w:right="126" w:hanging="127"/>
              <w:jc w:val="both"/>
              <w:rPr>
                <w:color w:val="000000"/>
                <w:sz w:val="20"/>
                <w:szCs w:val="20"/>
              </w:rPr>
            </w:pPr>
            <w:r>
              <w:rPr>
                <w:color w:val="000000"/>
                <w:sz w:val="20"/>
                <w:szCs w:val="20"/>
                <w:lang w:val="uk-UA"/>
              </w:rPr>
              <w:t xml:space="preserve">1) </w:t>
            </w:r>
            <w:r>
              <w:rPr>
                <w:rFonts w:ascii="'sans-serif'" w:hAnsi="'sans-serif'"/>
                <w:color w:val="000000"/>
                <w:sz w:val="20"/>
                <w:szCs w:val="20"/>
              </w:rPr>
              <w:t xml:space="preserve">забезпечення створення </w:t>
            </w:r>
            <w:r>
              <w:rPr>
                <w:rFonts w:ascii="'sans-serif'" w:hAnsi="'sans-serif'"/>
                <w:color w:val="000000"/>
                <w:sz w:val="20"/>
                <w:szCs w:val="20"/>
                <w:lang w:val="uk-UA"/>
              </w:rPr>
              <w:t>місцевої</w:t>
            </w:r>
            <w:r>
              <w:rPr>
                <w:rFonts w:ascii="'sans-serif'" w:hAnsi="'sans-serif'"/>
                <w:color w:val="000000"/>
                <w:sz w:val="20"/>
                <w:szCs w:val="20"/>
              </w:rPr>
              <w:t xml:space="preserve"> системи нагляду за дорожнім рухом, реєстрація дорожньо-транспортних пригод, загиблих в них і тих, хто отримав ушкодження (після створення на національному рівні)</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7A19B7"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2) </w:t>
            </w:r>
            <w:r w:rsidRPr="007A19B7">
              <w:rPr>
                <w:rFonts w:ascii="'sans-serif'" w:hAnsi="'sans-serif'"/>
                <w:color w:val="000000"/>
                <w:sz w:val="20"/>
                <w:szCs w:val="20"/>
                <w:lang w:val="uk-UA"/>
              </w:rPr>
              <w:t>забезпечення організації регулярного збору об’єктивних і достовірних даних щодо ключових порушень безпеки дорожнього руху (перевищення швидкості, невикористання/неналежне використання ременів безпеки, дитячих крісел, шоломів, вплив</w:t>
            </w:r>
            <w:r>
              <w:rPr>
                <w:rFonts w:ascii="'sans-serif'" w:hAnsi="'sans-serif'"/>
                <w:color w:val="000000"/>
                <w:sz w:val="20"/>
                <w:szCs w:val="20"/>
                <w:lang w:val="uk-UA"/>
              </w:rPr>
              <w:t xml:space="preserve"> </w:t>
            </w:r>
            <w:r w:rsidRPr="007A19B7">
              <w:rPr>
                <w:rFonts w:ascii="'sans-serif'" w:hAnsi="'sans-serif'"/>
                <w:color w:val="000000"/>
                <w:sz w:val="20"/>
                <w:szCs w:val="20"/>
                <w:lang w:val="uk-UA"/>
              </w:rPr>
              <w:t>факторів, що відволікають від керування транспортом</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A16F46" w:rsidRDefault="004D77FC" w:rsidP="009D772B">
            <w:pPr>
              <w:pStyle w:val="a3"/>
              <w:spacing w:after="0"/>
              <w:ind w:left="127" w:right="126" w:hanging="127"/>
              <w:jc w:val="both"/>
              <w:rPr>
                <w:color w:val="000000"/>
                <w:sz w:val="20"/>
                <w:szCs w:val="20"/>
              </w:rPr>
            </w:pPr>
            <w:r>
              <w:rPr>
                <w:color w:val="000000"/>
                <w:sz w:val="20"/>
                <w:szCs w:val="20"/>
                <w:lang w:val="uk-UA"/>
              </w:rPr>
              <w:t xml:space="preserve">3) </w:t>
            </w:r>
            <w:r>
              <w:rPr>
                <w:rFonts w:ascii="'sans-serif'" w:hAnsi="'sans-serif'"/>
                <w:color w:val="000000"/>
                <w:sz w:val="20"/>
                <w:szCs w:val="20"/>
              </w:rPr>
              <w:t xml:space="preserve">забезпечення перегляду індикаторів моніторингу порушень безпеки дорожнього руху на </w:t>
            </w:r>
            <w:r>
              <w:rPr>
                <w:rFonts w:ascii="'sans-serif'" w:hAnsi="'sans-serif'"/>
                <w:color w:val="000000"/>
                <w:sz w:val="20"/>
                <w:szCs w:val="20"/>
                <w:lang w:val="uk-UA"/>
              </w:rPr>
              <w:t>місцевому</w:t>
            </w:r>
            <w:r>
              <w:rPr>
                <w:rFonts w:ascii="'sans-serif'" w:hAnsi="'sans-serif'"/>
                <w:color w:val="000000"/>
                <w:sz w:val="20"/>
                <w:szCs w:val="20"/>
              </w:rPr>
              <w:t xml:space="preserve"> рівні для проведення поточної оцінки стану безпеки на дорогах</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19. Проведення моніторингу несприятливих факторів навколишнього природного середовища</w:t>
            </w:r>
          </w:p>
        </w:tc>
        <w:tc>
          <w:tcPr>
            <w:tcW w:w="5088" w:type="dxa"/>
            <w:shd w:val="clear" w:color="auto" w:fill="auto"/>
            <w:tcMar>
              <w:top w:w="15" w:type="dxa"/>
              <w:left w:w="15" w:type="dxa"/>
              <w:bottom w:w="15" w:type="dxa"/>
              <w:right w:w="15" w:type="dxa"/>
            </w:tcMar>
            <w:hideMark/>
          </w:tcPr>
          <w:p w:rsidR="004D77FC" w:rsidRPr="00936081" w:rsidRDefault="004D77FC" w:rsidP="009D772B">
            <w:pPr>
              <w:pStyle w:val="a3"/>
              <w:spacing w:after="0"/>
              <w:ind w:left="127" w:right="126" w:hanging="127"/>
              <w:jc w:val="both"/>
              <w:rPr>
                <w:color w:val="000000"/>
                <w:sz w:val="20"/>
                <w:szCs w:val="20"/>
              </w:rPr>
            </w:pPr>
            <w:r>
              <w:rPr>
                <w:color w:val="000000"/>
                <w:sz w:val="20"/>
                <w:szCs w:val="20"/>
                <w:lang w:val="uk-UA"/>
              </w:rPr>
              <w:t xml:space="preserve">1) </w:t>
            </w:r>
            <w:r>
              <w:rPr>
                <w:rFonts w:ascii="'sans-serif'" w:hAnsi="'sans-serif'"/>
                <w:color w:val="000000"/>
                <w:sz w:val="20"/>
                <w:szCs w:val="20"/>
              </w:rPr>
              <w:t>забезпечення створення умов системи нагляду за наслідками впливу забруднення повітря та інших несприятливих факторів навколишнього природного середовища в приміщеннях та поза ними</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color w:val="000000"/>
                <w:sz w:val="20"/>
                <w:szCs w:val="20"/>
                <w:lang w:val="uk-UA"/>
              </w:rPr>
            </w:pPr>
            <w:r>
              <w:rPr>
                <w:color w:val="000000"/>
                <w:sz w:val="20"/>
                <w:szCs w:val="20"/>
                <w:lang w:val="uk-UA"/>
              </w:rPr>
              <w:t xml:space="preserve">2) </w:t>
            </w:r>
            <w:r w:rsidRPr="00936081">
              <w:rPr>
                <w:rFonts w:ascii="'sans-serif'" w:hAnsi="'sans-serif'"/>
                <w:color w:val="000000"/>
                <w:sz w:val="20"/>
                <w:szCs w:val="20"/>
                <w:lang w:val="uk-UA"/>
              </w:rPr>
              <w:t>проведення моніторингу ефективності заходів із зменшення шкідливого впливу наслідків небезпечних атмосферних полютантів</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936081" w:rsidRDefault="004D77FC" w:rsidP="009D772B">
            <w:pPr>
              <w:pStyle w:val="a3"/>
              <w:spacing w:after="0"/>
              <w:ind w:left="127" w:right="126" w:hanging="127"/>
              <w:jc w:val="both"/>
              <w:rPr>
                <w:color w:val="000000"/>
                <w:sz w:val="20"/>
                <w:szCs w:val="20"/>
              </w:rPr>
            </w:pPr>
            <w:r>
              <w:rPr>
                <w:color w:val="000000"/>
                <w:sz w:val="20"/>
                <w:szCs w:val="20"/>
                <w:lang w:val="uk-UA"/>
              </w:rPr>
              <w:t xml:space="preserve">3) </w:t>
            </w:r>
            <w:r>
              <w:rPr>
                <w:rFonts w:ascii="'sans-serif'" w:hAnsi="'sans-serif'"/>
                <w:color w:val="000000"/>
                <w:sz w:val="20"/>
                <w:szCs w:val="20"/>
              </w:rPr>
              <w:t>забезпечення виконання функцій з нагляду за впливом навколишнього природного середовища на здоров’я населенн</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20. Проведення моніторингу дотримання безпечного способу життя і умов навчання дітей</w:t>
            </w:r>
          </w:p>
        </w:tc>
        <w:tc>
          <w:tcPr>
            <w:tcW w:w="5088" w:type="dxa"/>
            <w:shd w:val="clear" w:color="auto" w:fill="auto"/>
            <w:tcMar>
              <w:top w:w="15" w:type="dxa"/>
              <w:left w:w="15" w:type="dxa"/>
              <w:bottom w:w="15" w:type="dxa"/>
              <w:right w:w="15" w:type="dxa"/>
            </w:tcMar>
            <w:hideMark/>
          </w:tcPr>
          <w:p w:rsidR="004D77FC" w:rsidRDefault="004D77FC" w:rsidP="009D772B">
            <w:pPr>
              <w:pStyle w:val="a3"/>
              <w:spacing w:after="0"/>
              <w:ind w:left="127" w:right="126" w:hanging="127"/>
              <w:jc w:val="both"/>
              <w:rPr>
                <w:rFonts w:ascii="Verdana" w:hAnsi="Verdana"/>
                <w:color w:val="000000"/>
                <w:sz w:val="16"/>
                <w:szCs w:val="16"/>
              </w:rPr>
            </w:pPr>
            <w:r>
              <w:rPr>
                <w:color w:val="000000"/>
                <w:sz w:val="20"/>
                <w:szCs w:val="20"/>
                <w:lang w:val="uk-UA"/>
              </w:rPr>
              <w:t xml:space="preserve">1) </w:t>
            </w:r>
            <w:r>
              <w:rPr>
                <w:rFonts w:ascii="'sans-serif'" w:hAnsi="'sans-serif'"/>
                <w:color w:val="000000"/>
                <w:sz w:val="20"/>
                <w:szCs w:val="20"/>
              </w:rPr>
              <w:t>забезпечення систематичного нагляду за умовами та організацією навчання дітей у закладах освіти</w:t>
            </w:r>
          </w:p>
          <w:p w:rsidR="004D77FC" w:rsidRPr="00936081" w:rsidRDefault="004D77FC" w:rsidP="009D772B">
            <w:pPr>
              <w:pStyle w:val="a3"/>
              <w:spacing w:after="0"/>
              <w:ind w:left="127" w:right="126" w:hanging="127"/>
              <w:jc w:val="both"/>
              <w:rPr>
                <w:color w:val="000000"/>
                <w:sz w:val="20"/>
                <w:szCs w:val="20"/>
              </w:rPr>
            </w:pP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435"/>
        </w:trPr>
        <w:tc>
          <w:tcPr>
            <w:tcW w:w="1529" w:type="dxa"/>
            <w:tcBorders>
              <w:top w:val="nil"/>
            </w:tcBorders>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936081" w:rsidRDefault="004D77FC" w:rsidP="009D772B">
            <w:pPr>
              <w:pStyle w:val="a3"/>
              <w:spacing w:after="0"/>
              <w:ind w:left="127" w:right="126" w:hanging="127"/>
              <w:jc w:val="both"/>
              <w:rPr>
                <w:color w:val="000000"/>
                <w:sz w:val="20"/>
                <w:szCs w:val="20"/>
              </w:rPr>
            </w:pPr>
            <w:r>
              <w:rPr>
                <w:color w:val="000000"/>
                <w:sz w:val="20"/>
                <w:szCs w:val="20"/>
                <w:lang w:val="uk-UA"/>
              </w:rPr>
              <w:t xml:space="preserve">2) </w:t>
            </w:r>
            <w:r>
              <w:rPr>
                <w:rFonts w:ascii="'sans-serif'" w:hAnsi="'sans-serif'"/>
                <w:color w:val="000000"/>
                <w:sz w:val="20"/>
                <w:szCs w:val="20"/>
              </w:rPr>
              <w:t>забезпечення систематичного нагляду за безпечним навчальним навантаженням дітей</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r w:rsidR="004D77FC" w:rsidRPr="00510F97" w:rsidTr="009D772B">
        <w:trPr>
          <w:gridAfter w:val="1"/>
          <w:wAfter w:w="30" w:type="dxa"/>
          <w:trHeight w:val="738"/>
        </w:trPr>
        <w:tc>
          <w:tcPr>
            <w:tcW w:w="1529" w:type="dxa"/>
            <w:tcBorders>
              <w:top w:val="nil"/>
            </w:tcBorders>
            <w:shd w:val="clear" w:color="auto" w:fill="auto"/>
            <w:hideMark/>
          </w:tcPr>
          <w:p w:rsidR="004D77FC" w:rsidRDefault="004D77FC" w:rsidP="009D772B">
            <w:pPr>
              <w:spacing w:after="0" w:line="240" w:lineRule="auto"/>
              <w:ind w:left="157" w:hanging="157"/>
              <w:rPr>
                <w:rFonts w:ascii="Times New Roman" w:eastAsia="Times New Roman" w:hAnsi="Times New Roman" w:cs="Times New Roman"/>
                <w:color w:val="000000"/>
                <w:sz w:val="20"/>
                <w:szCs w:val="20"/>
                <w:lang w:val="uk-UA" w:eastAsia="uk-UA"/>
              </w:rPr>
            </w:pPr>
          </w:p>
        </w:tc>
        <w:tc>
          <w:tcPr>
            <w:tcW w:w="5088" w:type="dxa"/>
            <w:shd w:val="clear" w:color="auto" w:fill="auto"/>
            <w:tcMar>
              <w:top w:w="15" w:type="dxa"/>
              <w:left w:w="15" w:type="dxa"/>
              <w:bottom w:w="15" w:type="dxa"/>
              <w:right w:w="15" w:type="dxa"/>
            </w:tcMar>
            <w:hideMark/>
          </w:tcPr>
          <w:p w:rsidR="004D77FC" w:rsidRPr="00936081" w:rsidRDefault="004D77FC" w:rsidP="009D772B">
            <w:pPr>
              <w:pStyle w:val="a3"/>
              <w:spacing w:after="0"/>
              <w:ind w:left="127" w:right="126" w:hanging="127"/>
              <w:jc w:val="both"/>
              <w:rPr>
                <w:color w:val="000000"/>
                <w:sz w:val="20"/>
                <w:szCs w:val="20"/>
              </w:rPr>
            </w:pPr>
            <w:r>
              <w:rPr>
                <w:color w:val="000000"/>
                <w:sz w:val="20"/>
                <w:szCs w:val="20"/>
                <w:lang w:val="uk-UA"/>
              </w:rPr>
              <w:t xml:space="preserve">3) </w:t>
            </w:r>
            <w:r>
              <w:rPr>
                <w:rFonts w:ascii="'sans-serif'" w:hAnsi="'sans-serif'"/>
                <w:color w:val="000000"/>
                <w:sz w:val="20"/>
                <w:szCs w:val="20"/>
              </w:rPr>
              <w:t>проведення моніторингу способу життя дітей (фізична активність, час, проведений перед екраном телебачення і монітором персонального комп’ютера, тривалість сну, перебування на відкритому повітрі, шкідливі звички тощо)</w:t>
            </w:r>
          </w:p>
        </w:tc>
        <w:tc>
          <w:tcPr>
            <w:tcW w:w="1515" w:type="dxa"/>
            <w:shd w:val="clear" w:color="auto" w:fill="auto"/>
            <w:tcMar>
              <w:top w:w="15" w:type="dxa"/>
              <w:left w:w="15" w:type="dxa"/>
              <w:bottom w:w="15" w:type="dxa"/>
              <w:right w:w="15" w:type="dxa"/>
            </w:tcMar>
            <w:hideMark/>
          </w:tcPr>
          <w:p w:rsidR="004D77FC" w:rsidRPr="004C3285" w:rsidRDefault="004D77FC" w:rsidP="009D772B">
            <w:pPr>
              <w:spacing w:after="0" w:line="240" w:lineRule="auto"/>
              <w:ind w:right="186"/>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A30CB3">
              <w:rPr>
                <w:rFonts w:ascii="Times New Roman" w:eastAsia="Times New Roman" w:hAnsi="Times New Roman" w:cs="Times New Roman"/>
                <w:color w:val="000000"/>
                <w:sz w:val="20"/>
                <w:szCs w:val="20"/>
                <w:lang w:val="uk-UA" w:eastAsia="uk-UA"/>
              </w:rPr>
              <w:t>Виконавчий комітет</w:t>
            </w:r>
          </w:p>
        </w:tc>
        <w:tc>
          <w:tcPr>
            <w:tcW w:w="1522" w:type="dxa"/>
            <w:shd w:val="clear" w:color="auto" w:fill="auto"/>
            <w:tcMar>
              <w:top w:w="15" w:type="dxa"/>
              <w:left w:w="15" w:type="dxa"/>
              <w:bottom w:w="15" w:type="dxa"/>
              <w:right w:w="15" w:type="dxa"/>
            </w:tcMar>
            <w:hideMark/>
          </w:tcPr>
          <w:p w:rsidR="004D77FC" w:rsidRPr="004C3285" w:rsidRDefault="004D77FC" w:rsidP="009D772B">
            <w:pPr>
              <w:spacing w:after="0" w:line="240" w:lineRule="auto"/>
              <w:jc w:val="center"/>
              <w:rPr>
                <w:rFonts w:ascii="Verdana" w:eastAsia="Times New Roman" w:hAnsi="Verdana" w:cs="Times New Roman"/>
                <w:color w:val="000000"/>
                <w:sz w:val="16"/>
                <w:szCs w:val="16"/>
                <w:lang w:val="uk-UA" w:eastAsia="uk-UA"/>
              </w:rPr>
            </w:pPr>
            <w:r>
              <w:rPr>
                <w:rFonts w:ascii="'sans-serif'" w:eastAsia="Times New Roman" w:hAnsi="'sans-serif'" w:cs="Times New Roman"/>
                <w:color w:val="000000"/>
                <w:sz w:val="20"/>
                <w:szCs w:val="20"/>
                <w:lang w:val="uk-UA" w:eastAsia="uk-UA"/>
              </w:rPr>
              <w:t>постійно</w:t>
            </w:r>
            <w:r w:rsidRPr="004C3285">
              <w:rPr>
                <w:rFonts w:ascii="Verdana" w:eastAsia="Times New Roman" w:hAnsi="Verdana" w:cs="Times New Roman"/>
                <w:color w:val="000000"/>
                <w:sz w:val="16"/>
                <w:szCs w:val="16"/>
                <w:lang w:val="uk-UA" w:eastAsia="uk-UA"/>
              </w:rPr>
              <w:t xml:space="preserve"> </w:t>
            </w:r>
          </w:p>
        </w:tc>
        <w:tc>
          <w:tcPr>
            <w:tcW w:w="25" w:type="dxa"/>
            <w:tcBorders>
              <w:top w:val="nil"/>
              <w:bottom w:val="nil"/>
              <w:right w:val="nil"/>
            </w:tcBorders>
            <w:vAlign w:val="center"/>
            <w:hideMark/>
          </w:tcPr>
          <w:p w:rsidR="004D77FC" w:rsidRPr="00510F97" w:rsidRDefault="004D77FC" w:rsidP="009D772B">
            <w:pPr>
              <w:spacing w:after="0" w:line="240" w:lineRule="auto"/>
              <w:rPr>
                <w:rFonts w:ascii="Times New Roman" w:eastAsia="Times New Roman" w:hAnsi="Times New Roman" w:cs="Times New Roman"/>
                <w:sz w:val="20"/>
                <w:szCs w:val="20"/>
                <w:lang w:val="uk-UA" w:eastAsia="uk-UA"/>
              </w:rPr>
            </w:pPr>
          </w:p>
        </w:tc>
      </w:tr>
    </w:tbl>
    <w:p w:rsidR="004D77FC" w:rsidRDefault="004D77FC" w:rsidP="004D77FC">
      <w:pPr>
        <w:spacing w:line="240" w:lineRule="auto"/>
        <w:rPr>
          <w:lang w:val="uk-UA"/>
        </w:rPr>
      </w:pPr>
    </w:p>
    <w:p w:rsidR="004D77FC" w:rsidRDefault="004D77FC" w:rsidP="004D77FC">
      <w:pPr>
        <w:spacing w:line="240" w:lineRule="auto"/>
        <w:rPr>
          <w:lang w:val="uk-UA"/>
        </w:rPr>
      </w:pPr>
    </w:p>
    <w:p w:rsidR="004D77FC" w:rsidRDefault="004D77FC" w:rsidP="004D77FC">
      <w:pPr>
        <w:spacing w:line="240" w:lineRule="auto"/>
        <w:rPr>
          <w:lang w:val="uk-UA"/>
        </w:rPr>
      </w:pPr>
    </w:p>
    <w:p w:rsidR="004D77FC" w:rsidRDefault="004D77FC" w:rsidP="004D77FC">
      <w:pPr>
        <w:spacing w:line="240" w:lineRule="auto"/>
        <w:rPr>
          <w:rFonts w:ascii="Times New Roman" w:hAnsi="Times New Roman" w:cs="Times New Roman"/>
          <w:sz w:val="28"/>
          <w:szCs w:val="28"/>
          <w:lang w:val="uk-UA"/>
        </w:rPr>
      </w:pPr>
      <w:r w:rsidRPr="009F5AD6">
        <w:rPr>
          <w:rFonts w:ascii="Times New Roman" w:hAnsi="Times New Roman" w:cs="Times New Roman"/>
          <w:sz w:val="28"/>
          <w:szCs w:val="28"/>
          <w:lang w:val="uk-UA"/>
        </w:rPr>
        <w:t>Заступник сільського голови</w:t>
      </w:r>
      <w:r>
        <w:rPr>
          <w:rFonts w:ascii="Times New Roman" w:hAnsi="Times New Roman" w:cs="Times New Roman"/>
          <w:sz w:val="28"/>
          <w:szCs w:val="28"/>
          <w:lang w:val="uk-UA"/>
        </w:rPr>
        <w:t xml:space="preserve">       </w:t>
      </w:r>
      <w:r w:rsidRPr="009F5AD6">
        <w:rPr>
          <w:rFonts w:ascii="Times New Roman" w:hAnsi="Times New Roman" w:cs="Times New Roman"/>
          <w:sz w:val="28"/>
          <w:szCs w:val="28"/>
          <w:lang w:val="uk-UA"/>
        </w:rPr>
        <w:t xml:space="preserve">                                                         М.Якимчук</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ans-serif'">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hyphenationZone w:val="425"/>
  <w:characterSpacingControl w:val="doNotCompress"/>
  <w:compat/>
  <w:rsids>
    <w:rsidRoot w:val="004D77FC"/>
    <w:rsid w:val="003E787E"/>
    <w:rsid w:val="004D77FC"/>
    <w:rsid w:val="006A7D36"/>
    <w:rsid w:val="007761C7"/>
    <w:rsid w:val="009331E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7FC"/>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nhideWhenUsed/>
    <w:qFormat/>
    <w:rsid w:val="004D77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10816</Words>
  <Characters>6166</Characters>
  <Application>Microsoft Office Word</Application>
  <DocSecurity>0</DocSecurity>
  <Lines>51</Lines>
  <Paragraphs>33</Paragraphs>
  <ScaleCrop>false</ScaleCrop>
  <Company/>
  <LinksUpToDate>false</LinksUpToDate>
  <CharactersWithSpaces>16949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2019-06-18T12:43:00Z</dcterms:created>
  <dcterms:modified xsi:type="dcterms:W3CDTF">2019-06-18T12:43:00Z</dcterms:modified>
</cp:coreProperties>
</file>