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E2" w:rsidRPr="00656568" w:rsidRDefault="00B063E2" w:rsidP="00B063E2">
      <w:pPr>
        <w:shd w:val="clear" w:color="auto" w:fill="FFFFFF"/>
        <w:jc w:val="right"/>
        <w:rPr>
          <w:b/>
          <w:i/>
          <w:color w:val="333333"/>
          <w:sz w:val="28"/>
          <w:szCs w:val="28"/>
          <w:lang w:eastAsia="uk-UA"/>
        </w:rPr>
      </w:pPr>
      <w:r w:rsidRPr="000B6F39"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B063E2" w:rsidRPr="00B10977" w:rsidRDefault="00B063E2" w:rsidP="00B063E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63E2" w:rsidRDefault="00B063E2" w:rsidP="00B063E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66F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E2" w:rsidRPr="000B6F39" w:rsidRDefault="00B063E2" w:rsidP="00B063E2">
      <w:pPr>
        <w:pStyle w:val="a4"/>
        <w:rPr>
          <w:sz w:val="28"/>
          <w:szCs w:val="28"/>
        </w:rPr>
      </w:pPr>
      <w:r w:rsidRPr="000B6F39">
        <w:rPr>
          <w:sz w:val="28"/>
          <w:szCs w:val="28"/>
        </w:rPr>
        <w:t>УКРАЇНА</w:t>
      </w:r>
    </w:p>
    <w:p w:rsidR="00B063E2" w:rsidRPr="004B66FC" w:rsidRDefault="00B063E2" w:rsidP="00B063E2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B063E2" w:rsidRPr="004B66FC" w:rsidRDefault="00B063E2" w:rsidP="00B063E2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B063E2" w:rsidRPr="000B6F39" w:rsidRDefault="00B063E2" w:rsidP="00B063E2">
      <w:pPr>
        <w:jc w:val="center"/>
        <w:rPr>
          <w:rFonts w:ascii="Times New Roman" w:hAnsi="Times New Roman"/>
          <w:b/>
          <w:sz w:val="28"/>
          <w:szCs w:val="28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B6F39">
        <w:rPr>
          <w:rFonts w:ascii="Times New Roman" w:hAnsi="Times New Roman"/>
          <w:b/>
          <w:sz w:val="28"/>
          <w:szCs w:val="28"/>
        </w:rPr>
        <w:t xml:space="preserve">_____________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>)</w:t>
      </w:r>
    </w:p>
    <w:p w:rsidR="00B063E2" w:rsidRPr="000B6F39" w:rsidRDefault="00B063E2" w:rsidP="00B063E2">
      <w:pPr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  </w:t>
      </w:r>
    </w:p>
    <w:p w:rsidR="00B063E2" w:rsidRPr="000B6F39" w:rsidRDefault="00B063E2" w:rsidP="00B063E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6F3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b/>
          <w:sz w:val="28"/>
          <w:szCs w:val="28"/>
        </w:rPr>
        <w:t>ІШЕННЯ</w:t>
      </w:r>
    </w:p>
    <w:p w:rsidR="00B063E2" w:rsidRPr="000B6F39" w:rsidRDefault="00B063E2" w:rsidP="00B063E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«_____» _________2020 року</w:t>
      </w:r>
      <w:r w:rsidRPr="000B6F3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№ _____</w:t>
      </w:r>
    </w:p>
    <w:p w:rsidR="00B063E2" w:rsidRPr="000B6F39" w:rsidRDefault="00B063E2" w:rsidP="00B063E2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63E2" w:rsidRPr="000B6F39" w:rsidRDefault="00B063E2" w:rsidP="00B063E2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  <w:r w:rsidRPr="000B6F3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доброві</w:t>
      </w:r>
      <w:proofErr w:type="gramStart"/>
      <w:r w:rsidRPr="000B6F39">
        <w:rPr>
          <w:rFonts w:ascii="Times New Roman" w:hAnsi="Times New Roman"/>
          <w:b/>
          <w:i/>
          <w:sz w:val="28"/>
          <w:szCs w:val="28"/>
        </w:rPr>
        <w:t>льне</w:t>
      </w:r>
      <w:proofErr w:type="spellEnd"/>
      <w:proofErr w:type="gram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громад</w:t>
      </w:r>
    </w:p>
    <w:p w:rsidR="00B063E2" w:rsidRPr="000B6F39" w:rsidRDefault="00B063E2" w:rsidP="00B063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3E2" w:rsidRPr="000B6F39" w:rsidRDefault="00B063E2" w:rsidP="00B063E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голови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від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«__» _________ 20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року, №__, </w:t>
      </w:r>
      <w:proofErr w:type="spellStart"/>
      <w:r w:rsidRPr="000B6F39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ч.5 ст.7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громад», ч.1 ст. 59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B6F39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рада</w:t>
      </w:r>
    </w:p>
    <w:p w:rsidR="00B063E2" w:rsidRPr="000B6F39" w:rsidRDefault="00B063E2" w:rsidP="00B063E2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063E2" w:rsidRPr="000B6F39" w:rsidRDefault="00B063E2" w:rsidP="00B063E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ВИРІШИЛА:</w:t>
      </w:r>
    </w:p>
    <w:p w:rsidR="00B063E2" w:rsidRPr="000B6F39" w:rsidRDefault="00B063E2" w:rsidP="00B063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Об’єднатися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громадам </w:t>
      </w:r>
      <w:r w:rsidRPr="00B469CC">
        <w:rPr>
          <w:rFonts w:ascii="Times New Roman" w:hAnsi="Times New Roman"/>
          <w:sz w:val="28"/>
          <w:szCs w:val="28"/>
          <w:lang w:val="uk-UA"/>
        </w:rPr>
        <w:t xml:space="preserve">сіл Городок, Карпилівка, Михайлівка, Понебель, Караєвичі, Метків, Рубче Городоцької сільської ради </w:t>
      </w:r>
      <w:proofErr w:type="gramStart"/>
      <w:r w:rsidRPr="00B469C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B469CC">
        <w:rPr>
          <w:rFonts w:ascii="Times New Roman" w:hAnsi="Times New Roman"/>
          <w:sz w:val="28"/>
          <w:szCs w:val="28"/>
          <w:lang w:val="uk-UA"/>
        </w:rPr>
        <w:t>івненського району Рівненської області, сіл Обарів, Ставки Обарівської сільської ради Рівненського району Рівненської області, сіл Бронники, Рогачів, Білівські Хутори Бронниківської сільської ради Рівненського району Рівненської області у Городоцьку сільську об’єднану територіальну громаду з адміністративним центром у селі Городок</w:t>
      </w:r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Default="00B063E2" w:rsidP="00B063E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Default="00B063E2" w:rsidP="00B063E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Default="00B063E2" w:rsidP="00B063E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Pr="00D55D8E" w:rsidRDefault="00B063E2" w:rsidP="00B063E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Default="00B063E2" w:rsidP="00B063E2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ЗАТВЕРДЖЕНО</w:t>
      </w:r>
    </w:p>
    <w:p w:rsidR="00B063E2" w:rsidRPr="00D051C1" w:rsidRDefault="00B063E2" w:rsidP="00B063E2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Обарівської</w:t>
      </w: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сільської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ради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від «___»______  року </w:t>
      </w:r>
      <w:r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>№__</w:t>
      </w:r>
    </w:p>
    <w:p w:rsidR="00B063E2" w:rsidRPr="00D051C1" w:rsidRDefault="00B063E2" w:rsidP="00B063E2">
      <w:pPr>
        <w:spacing w:line="276" w:lineRule="auto"/>
        <w:ind w:left="6360" w:firstLine="72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063E2" w:rsidRPr="000B6F39" w:rsidRDefault="00B063E2" w:rsidP="00B063E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B063E2" w:rsidRPr="000B6F39" w:rsidRDefault="00B063E2" w:rsidP="00B063E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ОРГАНІЗАЦІЙНИХ ЗАХОДІВ ЩОДО </w:t>
      </w:r>
    </w:p>
    <w:p w:rsidR="00B063E2" w:rsidRPr="000B6F39" w:rsidRDefault="00B063E2" w:rsidP="00B063E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ДОБРОВІЛЬНОГО ОБ’ЄДНАННЯ ТЕРИТОРІАЛЬНИХ ГРОМАД</w:t>
      </w:r>
    </w:p>
    <w:p w:rsidR="00B063E2" w:rsidRPr="00E90FAF" w:rsidRDefault="00B063E2" w:rsidP="00B063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роз’яснювальних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матер</w:t>
      </w:r>
      <w:proofErr w:type="gramEnd"/>
      <w:r w:rsidRPr="00E90FAF">
        <w:rPr>
          <w:rFonts w:ascii="Times New Roman" w:hAnsi="Times New Roman"/>
          <w:sz w:val="28"/>
          <w:szCs w:val="28"/>
        </w:rPr>
        <w:t>іалів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питань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у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E90FAF">
        <w:rPr>
          <w:rFonts w:ascii="Times New Roman" w:hAnsi="Times New Roman"/>
          <w:sz w:val="28"/>
          <w:szCs w:val="28"/>
        </w:rPr>
        <w:t>/</w:t>
      </w:r>
      <w:proofErr w:type="spellStart"/>
      <w:r w:rsidRPr="00E90FAF">
        <w:rPr>
          <w:rFonts w:ascii="Times New Roman" w:hAnsi="Times New Roman"/>
          <w:sz w:val="28"/>
          <w:szCs w:val="28"/>
        </w:rPr>
        <w:t>або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FAF">
        <w:rPr>
          <w:rFonts w:ascii="Times New Roman" w:hAnsi="Times New Roman"/>
          <w:sz w:val="28"/>
          <w:szCs w:val="28"/>
        </w:rPr>
        <w:t>на</w:t>
      </w:r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інформаційн</w:t>
      </w:r>
      <w:r w:rsidRPr="00E90FA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стенд</w:t>
      </w:r>
      <w:r w:rsidRPr="00E90FAF">
        <w:rPr>
          <w:rFonts w:ascii="Times New Roman" w:hAnsi="Times New Roman"/>
          <w:sz w:val="28"/>
          <w:szCs w:val="28"/>
          <w:lang w:val="uk-UA"/>
        </w:rPr>
        <w:t>ах.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FAF">
        <w:rPr>
          <w:rFonts w:ascii="Times New Roman" w:hAnsi="Times New Roman"/>
          <w:sz w:val="28"/>
          <w:szCs w:val="28"/>
        </w:rPr>
        <w:t>За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робочої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групи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перспективних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напрямів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E90FAF">
        <w:rPr>
          <w:rFonts w:ascii="Times New Roman" w:hAnsi="Times New Roman"/>
          <w:sz w:val="28"/>
          <w:szCs w:val="28"/>
        </w:rPr>
        <w:t>умови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р</w:t>
      </w:r>
      <w:proofErr w:type="gramEnd"/>
      <w:r w:rsidRPr="00E90FAF">
        <w:rPr>
          <w:rFonts w:ascii="Times New Roman" w:hAnsi="Times New Roman"/>
          <w:sz w:val="28"/>
          <w:szCs w:val="28"/>
        </w:rPr>
        <w:t>ішення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E90FAF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законам </w:t>
      </w:r>
      <w:proofErr w:type="spellStart"/>
      <w:r w:rsidRPr="00E90FA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проекти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Статуту та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  <w:lang w:val="uk-UA"/>
        </w:rPr>
        <w:t>Городо</w:t>
      </w:r>
      <w:r w:rsidRPr="00E90FAF">
        <w:rPr>
          <w:rFonts w:ascii="Times New Roman" w:hAnsi="Times New Roman"/>
          <w:sz w:val="28"/>
          <w:szCs w:val="28"/>
        </w:rPr>
        <w:t>цької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згідно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пріоритетних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завдань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0FAF">
        <w:rPr>
          <w:rFonts w:ascii="Times New Roman" w:hAnsi="Times New Roman"/>
          <w:sz w:val="28"/>
          <w:szCs w:val="28"/>
        </w:rPr>
        <w:t>до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орган</w:t>
      </w:r>
      <w:proofErr w:type="gramEnd"/>
      <w:r w:rsidRPr="00E90FAF">
        <w:rPr>
          <w:rFonts w:ascii="Times New Roman" w:hAnsi="Times New Roman"/>
          <w:sz w:val="28"/>
          <w:szCs w:val="28"/>
        </w:rPr>
        <w:t>ізації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має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дозволи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ліцензії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0FA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землевпорядних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робіт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E90FAF">
        <w:rPr>
          <w:rFonts w:ascii="Times New Roman" w:hAnsi="Times New Roman"/>
          <w:sz w:val="28"/>
          <w:szCs w:val="28"/>
        </w:rPr>
        <w:t>новоутвореної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наявних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комунальній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них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спец</w:t>
      </w:r>
      <w:proofErr w:type="gramEnd"/>
      <w:r w:rsidRPr="00E90FAF">
        <w:rPr>
          <w:rFonts w:ascii="Times New Roman" w:hAnsi="Times New Roman"/>
          <w:sz w:val="28"/>
          <w:szCs w:val="28"/>
        </w:rPr>
        <w:t>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служб.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транспортної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B063E2" w:rsidRPr="00E90FAF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90FA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рад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майна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якісних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послуг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структуру та </w:t>
      </w:r>
      <w:proofErr w:type="spellStart"/>
      <w:r w:rsidRPr="000B6F39">
        <w:rPr>
          <w:rFonts w:ascii="Times New Roman" w:hAnsi="Times New Roman"/>
          <w:sz w:val="28"/>
          <w:szCs w:val="28"/>
        </w:rPr>
        <w:t>штатний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розпис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розрахунки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F39">
        <w:rPr>
          <w:rFonts w:ascii="Times New Roman" w:hAnsi="Times New Roman"/>
          <w:sz w:val="28"/>
          <w:szCs w:val="28"/>
        </w:rPr>
        <w:t>кошторису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витрат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F39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</w:t>
      </w:r>
      <w:r w:rsidRPr="000B6F39">
        <w:rPr>
          <w:rFonts w:ascii="Times New Roman" w:hAnsi="Times New Roman"/>
          <w:sz w:val="28"/>
          <w:szCs w:val="28"/>
        </w:rPr>
        <w:t>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пункти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B6F39">
        <w:rPr>
          <w:rFonts w:ascii="Times New Roman" w:hAnsi="Times New Roman"/>
          <w:sz w:val="28"/>
          <w:szCs w:val="28"/>
        </w:rPr>
        <w:t>яких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обирається</w:t>
      </w:r>
      <w:proofErr w:type="spellEnd"/>
      <w:proofErr w:type="gramEnd"/>
      <w:r w:rsidRPr="000B6F39">
        <w:rPr>
          <w:rFonts w:ascii="Times New Roman" w:hAnsi="Times New Roman"/>
          <w:sz w:val="28"/>
          <w:szCs w:val="28"/>
        </w:rPr>
        <w:t xml:space="preserve"> староста.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ідготувати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проекти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посадову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інструкцію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старост.</w:t>
      </w:r>
    </w:p>
    <w:p w:rsidR="00B063E2" w:rsidRPr="000128AB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28AB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перспективний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128A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мережі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28AB">
        <w:rPr>
          <w:rFonts w:ascii="Times New Roman" w:hAnsi="Times New Roman"/>
          <w:sz w:val="28"/>
          <w:szCs w:val="28"/>
        </w:rPr>
        <w:t>які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надають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28AB">
        <w:rPr>
          <w:rFonts w:ascii="Times New Roman" w:hAnsi="Times New Roman"/>
          <w:sz w:val="28"/>
          <w:szCs w:val="28"/>
        </w:rPr>
        <w:t>соц</w:t>
      </w:r>
      <w:proofErr w:type="gramEnd"/>
      <w:r w:rsidRPr="000128AB">
        <w:rPr>
          <w:rFonts w:ascii="Times New Roman" w:hAnsi="Times New Roman"/>
          <w:sz w:val="28"/>
          <w:szCs w:val="28"/>
        </w:rPr>
        <w:t>іальні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0128AB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аналіз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увійдуть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вжитих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lastRenderedPageBreak/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0B6F39">
        <w:rPr>
          <w:rFonts w:ascii="Times New Roman" w:hAnsi="Times New Roman"/>
          <w:sz w:val="28"/>
          <w:szCs w:val="28"/>
        </w:rPr>
        <w:t>недопущення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6F39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B6F39">
        <w:rPr>
          <w:rFonts w:ascii="Times New Roman" w:hAnsi="Times New Roman"/>
          <w:sz w:val="28"/>
          <w:szCs w:val="28"/>
        </w:rPr>
        <w:t>дебіторської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кредиторської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заборгованостей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Pr="000B6F39" w:rsidRDefault="00B063E2" w:rsidP="00B063E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технічним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оснащенням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інвентарем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ремонту </w:t>
      </w:r>
      <w:proofErr w:type="spellStart"/>
      <w:r w:rsidRPr="000B6F39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B063E2" w:rsidRDefault="00B063E2" w:rsidP="00B063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Default="00B063E2" w:rsidP="00B063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Default="00B063E2" w:rsidP="00B063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Pr="000128AB" w:rsidRDefault="00B063E2" w:rsidP="00B063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63E2" w:rsidRPr="000B6F39" w:rsidRDefault="00B063E2" w:rsidP="00B063E2">
      <w:pPr>
        <w:jc w:val="both"/>
        <w:rPr>
          <w:rFonts w:ascii="Times New Roman" w:hAnsi="Times New Roman"/>
          <w:b/>
          <w:sz w:val="28"/>
          <w:szCs w:val="28"/>
        </w:rPr>
      </w:pPr>
    </w:p>
    <w:p w:rsidR="00B063E2" w:rsidRDefault="00B063E2" w:rsidP="00B063E2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E3C"/>
    <w:multiLevelType w:val="hybridMultilevel"/>
    <w:tmpl w:val="402896E0"/>
    <w:lvl w:ilvl="0" w:tplc="8000F9E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063E2"/>
    <w:rsid w:val="003E787E"/>
    <w:rsid w:val="00505FD2"/>
    <w:rsid w:val="006A7D36"/>
    <w:rsid w:val="007761C7"/>
    <w:rsid w:val="00807124"/>
    <w:rsid w:val="00B063E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E2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63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B063E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caps/>
      <w:sz w:val="22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06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3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2020-03-05T13:13:00Z</dcterms:created>
  <dcterms:modified xsi:type="dcterms:W3CDTF">2020-03-05T13:13:00Z</dcterms:modified>
</cp:coreProperties>
</file>